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412-2025 i Sandvikens kommun</w:t>
      </w:r>
    </w:p>
    <w:p>
      <w:r>
        <w:t>Detta klagomål behandlar höga naturvärden i samrådsanmälan S 412-2025 i Sandvikens kommun som inkom 2025-02-11 och omfattar 21,2 ha.</w:t>
      </w:r>
    </w:p>
    <w:p>
      <w:pPr>
        <w:pStyle w:val="Caption"/>
      </w:pPr>
      <w:r>
        <w:drawing>
          <wp:inline xmlns:a="http://schemas.openxmlformats.org/drawingml/2006/main" xmlns:pic="http://schemas.openxmlformats.org/drawingml/2006/picture">
            <wp:extent cx="4052041" cy="5724000"/>
            <wp:docPr id="1" name="Picture 1"/>
            <wp:cNvGraphicFramePr>
              <a:graphicFrameLocks noChangeAspect="1"/>
            </wp:cNvGraphicFramePr>
            <a:graphic>
              <a:graphicData uri="http://schemas.openxmlformats.org/drawingml/2006/picture">
                <pic:pic>
                  <pic:nvPicPr>
                    <pic:cNvPr id="0" name="S 412-2025 karta.png"/>
                    <pic:cNvPicPr/>
                  </pic:nvPicPr>
                  <pic:blipFill>
                    <a:blip r:embed="rId16"/>
                    <a:stretch>
                      <a:fillRect/>
                    </a:stretch>
                  </pic:blipFill>
                  <pic:spPr>
                    <a:xfrm>
                      <a:off x="0" y="0"/>
                      <a:ext cx="4052041"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6709862, E 599356 i SWEREF 99 TM.</w:t>
      </w:r>
    </w:p>
    <w:p>
      <w:r>
        <w:t>Inom 12 meter från samrådsanmälan finns fynd av 1 naturvårdsarter, varav 1 är rödlistad: aspbarkgnagare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2026; IUCN, 2025; Wikars &amp; Hedenås, 2010).</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(Wikars &amp; Hedenås, 2010). Röjning, gallring och avverkning av asp i de landskapsområden där arten fortfarande förekommer är ett direkt hot mot artens långsiktiga överlevnad.</w:t>
      </w:r>
    </w:p>
    <w:p>
      <w:pPr>
        <w:pStyle w:val="Heading2"/>
      </w:pPr>
      <w:r>
        <w:t>Referenser – aspbarkgnagare</w:t>
      </w:r>
    </w:p>
    <w:p>
      <w:r>
        <w:t xml:space="preserve">IUCN, 2025. </w:t>
      </w:r>
      <w:r>
        <w:rPr>
          <w:i/>
        </w:rPr>
        <w:t>Xyletinus tremulicola</w:t>
      </w:r>
      <w:r>
        <w:t>. The IUCN Red List of Threatened Species.</w:t>
      </w:r>
    </w:p>
    <w:p>
      <w:r>
        <w:t xml:space="preserve">SLU Artdatabanken, 2026. </w:t>
      </w:r>
      <w:r>
        <w:rPr>
          <w:i/>
        </w:rPr>
        <w:t xml:space="preserve">Artfaktablad. Naturvård – artfakta. </w:t>
      </w:r>
      <w:r>
        <w:t>SLU Artdatabanken, Uppsala</w:t>
      </w:r>
    </w:p>
    <w:p>
      <w:r>
        <w:t xml:space="preserve">Wikars, L-O. &amp; Hedenås, H., 2010. </w:t>
      </w:r>
      <w:r>
        <w:rPr>
          <w:i/>
        </w:rPr>
        <w:t>Åtgärdsprogram för hotade arter på asp i Norrland 2010–2014</w:t>
      </w:r>
      <w:r>
        <w:t>. Rapport 6393. Juni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