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317-2026 i Sandvikens kommun</w:t>
      </w:r>
    </w:p>
    <w:p>
      <w:r>
        <w:t>Detta klagomål behandlar höga naturvärden i samrådsanmälan S 317-2026 i Sandvikens kommun som inkom 2026-02-06 och omfattar 96,9 ha.</w:t>
      </w:r>
    </w:p>
    <w:p>
      <w:pPr>
        <w:pStyle w:val="Caption"/>
      </w:pPr>
      <w:r>
        <w:drawing>
          <wp:inline xmlns:a="http://schemas.openxmlformats.org/drawingml/2006/main" xmlns:pic="http://schemas.openxmlformats.org/drawingml/2006/picture">
            <wp:extent cx="5120127" cy="5724000"/>
            <wp:docPr id="1" name="Picture 1"/>
            <wp:cNvGraphicFramePr>
              <a:graphicFrameLocks noChangeAspect="1"/>
            </wp:cNvGraphicFramePr>
            <a:graphic>
              <a:graphicData uri="http://schemas.openxmlformats.org/drawingml/2006/picture">
                <pic:pic>
                  <pic:nvPicPr>
                    <pic:cNvPr id="0" name="S 317-2026 karta.png"/>
                    <pic:cNvPicPr/>
                  </pic:nvPicPr>
                  <pic:blipFill>
                    <a:blip r:embed="rId16"/>
                    <a:stretch>
                      <a:fillRect/>
                    </a:stretch>
                  </pic:blipFill>
                  <pic:spPr>
                    <a:xfrm>
                      <a:off x="0" y="0"/>
                      <a:ext cx="5120127"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6691730, E 586570 i SWEREF 99 TM.</w:t>
      </w:r>
    </w:p>
    <w:p>
      <w:r>
        <w:t>I och inom 19 meter från samrådsanmälan finns fynd av 7 naturvårdsarter, varav 3 är rödlistade, 6 är fridlysta och 2 är typiska (T): brunlångöra (NT, §4a), nordfladdermus (NT, §4a), slåtterfibbla (NT, T), blåsippa (T, §9), större brunfladdermus (§4a), vattenfladdermus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