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13897-2026 i Sandvikens kommun</w:t>
      </w:r>
    </w:p>
    <w:p>
      <w:r>
        <w:t>Detta klagomål behandlar höga naturvärden i avverkningsanmälan A 13897-2026 i Sandvikens kommun som inkom 2026-03-17 och omfattar 1,7 ha.</w:t>
      </w:r>
    </w:p>
    <w:p>
      <w:pPr>
        <w:pStyle w:val="Caption"/>
      </w:pPr>
      <w:r>
        <w:drawing>
          <wp:inline xmlns:a="http://schemas.openxmlformats.org/drawingml/2006/main" xmlns:pic="http://schemas.openxmlformats.org/drawingml/2006/picture">
            <wp:extent cx="5486400" cy="4091233"/>
            <wp:docPr id="1" name="Picture 1"/>
            <wp:cNvGraphicFramePr>
              <a:graphicFrameLocks noChangeAspect="1"/>
            </wp:cNvGraphicFramePr>
            <a:graphic>
              <a:graphicData uri="http://schemas.openxmlformats.org/drawingml/2006/picture">
                <pic:pic>
                  <pic:nvPicPr>
                    <pic:cNvPr id="0" name="A 13897-2026 karta.png"/>
                    <pic:cNvPicPr/>
                  </pic:nvPicPr>
                  <pic:blipFill>
                    <a:blip r:embed="rId16"/>
                    <a:stretch>
                      <a:fillRect/>
                    </a:stretch>
                  </pic:blipFill>
                  <pic:spPr>
                    <a:xfrm>
                      <a:off x="0" y="0"/>
                      <a:ext cx="5486400" cy="409123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6725581, E 599265 i SWEREF 99 TM.</w:t>
      </w:r>
    </w:p>
    <w:p>
      <w:r>
        <w:t>I och inom 16 meter från avverkningsanmälan finns fynd av 6 naturvårdsarter, varav 2 är rödlistade, 4 är fridlysta och 1 är typisk (T): igelkott (VU), skogshare (NT), blåsippa (T, §9), mindre vattensalamander (§6), fläcknycklar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