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52778-2025 i Sandvikens kommun</w:t>
      </w:r>
    </w:p>
    <w:p>
      <w:r>
        <w:t>Denna tillsynsbegäran behandlar höga naturvärden i avverkningsanmälan A 52778-2025 i Sandvikens kommun som inkom 2025-10-27 och omfattar 4,1 ha.</w:t>
      </w:r>
    </w:p>
    <w:p>
      <w:pPr>
        <w:pStyle w:val="Caption"/>
      </w:pPr>
      <w:r>
        <w:drawing>
          <wp:inline xmlns:a="http://schemas.openxmlformats.org/drawingml/2006/main" xmlns:pic="http://schemas.openxmlformats.org/drawingml/2006/picture">
            <wp:extent cx="5486400" cy="5076446"/>
            <wp:docPr id="1" name="Picture 1"/>
            <wp:cNvGraphicFramePr>
              <a:graphicFrameLocks noChangeAspect="1"/>
            </wp:cNvGraphicFramePr>
            <a:graphic>
              <a:graphicData uri="http://schemas.openxmlformats.org/drawingml/2006/picture">
                <pic:pic>
                  <pic:nvPicPr>
                    <pic:cNvPr id="0" name="A 52778-2025 karta.png"/>
                    <pic:cNvPicPr/>
                  </pic:nvPicPr>
                  <pic:blipFill>
                    <a:blip r:embed="rId16"/>
                    <a:stretch>
                      <a:fillRect/>
                    </a:stretch>
                  </pic:blipFill>
                  <pic:spPr>
                    <a:xfrm>
                      <a:off x="0" y="0"/>
                      <a:ext cx="5486400" cy="5076446"/>
                    </a:xfrm>
                    <a:prstGeom prst="rect"/>
                  </pic:spPr>
                </pic:pic>
              </a:graphicData>
            </a:graphic>
          </wp:inline>
        </w:drawing>
      </w:r>
    </w:p>
    <w:p>
      <w:pPr>
        <w:pStyle w:val="Caption"/>
        <w:spacing w:after="240"/>
      </w:pPr>
      <w:r>
        <w:t>Figur 1. Fyndplatser för naturvårdsarter i och inom 9 meter från avverkningsanmälan. Markörer utan svart kant är placerade på fyndplatsen. Markörer med svart kant är placerade vid sidan av fyndplatsen och har ett svart streck som visar fyndplatsens exakta position. Kartans mittpunktskoordinat är N 6732097, E 577818 i SWEREF 99 TM.</w:t>
      </w:r>
    </w:p>
    <w:p>
      <w:r>
        <w:t>I och inom 9 meter från avverkningsanmälan finns fynd av 10 naturvårdsarter, varav 7 är rödlistade, 2 är fridlysta, 9 är typiska (T) och 2 är signalarter (S): garnlav (VU, T), knärot (VU, T, §8), dropptaggsvamp (NT, T), kolflarnlav (NT, T), motaggsvamp (NT, T), svart taggsvamp (NT), ullticka (NT, T), bronshjon (S, T), mindre märgborre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6 fyndplatser för knärot registrerade på Artportalen. Figur 2 visar gränserna för buffertzoner på 50 m, som behöver lämnas kring fyndplatserna för att knärotslokalerna inte ska försvinna vid en avverkning. Av det avverkningsanmälda området överlappar 1.78 ha med buffertzonerna och får av detta skäl inte avverkas.</w:t>
      </w:r>
    </w:p>
    <w:p>
      <w:pPr>
        <w:pStyle w:val="Caption"/>
      </w:pPr>
      <w:r>
        <w:drawing>
          <wp:inline xmlns:a="http://schemas.openxmlformats.org/drawingml/2006/main" xmlns:pic="http://schemas.openxmlformats.org/drawingml/2006/picture">
            <wp:extent cx="5486400" cy="6490011"/>
            <wp:docPr id="2" name="Picture 2"/>
            <wp:cNvGraphicFramePr>
              <a:graphicFrameLocks noChangeAspect="1"/>
            </wp:cNvGraphicFramePr>
            <a:graphic>
              <a:graphicData uri="http://schemas.openxmlformats.org/drawingml/2006/picture">
                <pic:pic>
                  <pic:nvPicPr>
                    <pic:cNvPr id="0" name="A 52778-2025 karta knärot.png"/>
                    <pic:cNvPicPr/>
                  </pic:nvPicPr>
                  <pic:blipFill>
                    <a:blip r:embed="rId17"/>
                    <a:stretch>
                      <a:fillRect/>
                    </a:stretch>
                  </pic:blipFill>
                  <pic:spPr>
                    <a:xfrm>
                      <a:off x="0" y="0"/>
                      <a:ext cx="5486400" cy="649001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6732097, E 577818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Svart taggsvamp (NT)</w:t>
      </w:r>
      <w:r>
        <w:t xml:space="preserve"> bildar mykorrhiza med tall, möjligen även med gran, i barrskog på kalkrik eller annan basiskt påverkad mark. Den totala populationen i landet har minskat och bedöms fortsätta minska till följd av avverkning av kalkbarrskogar. Arten har begränsad förmåga att återetablera sig efter slutavverkning eller andra storskaliga skogsbruksåtgärder. Det finns inga indikationer på att arten långsiktigt kan etablera eller reproducera sig i skogsbestånd som brukas med trakthyggesmetoder, markberedning, gödsling eller föryngring med förädlat plantmaterial. Minskningstakten uppgår till 25 (15–50) % inom 50 år och bedöms vara nära gränsvärdet för sårbar (VU) (SLU Artdatabanken, 2026).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knärot (VU, T, §8), dropptaggsvamp (NT, T), kolflarnlav (NT, T), motaggsvamp (NT, T), ullticka (NT, T), bronshjon (S, T), mindre märgborre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