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52778-2025 i Sandvikens kommun</w:t>
      </w:r>
    </w:p>
    <w:p>
      <w:r>
        <w:t>Detta klagomål behandlar höga naturvärden i avverkningsanmälan A 52778-2025 i Sandvikens kommun som inkom 2025-10-27 och omfattar 4,1 ha.</w:t>
      </w:r>
    </w:p>
    <w:p>
      <w:pPr>
        <w:pStyle w:val="Caption"/>
      </w:pPr>
      <w:r>
        <w:drawing>
          <wp:inline xmlns:a="http://schemas.openxmlformats.org/drawingml/2006/main" xmlns:pic="http://schemas.openxmlformats.org/drawingml/2006/picture">
            <wp:extent cx="5486400" cy="5076446"/>
            <wp:docPr id="1" name="Picture 1"/>
            <wp:cNvGraphicFramePr>
              <a:graphicFrameLocks noChangeAspect="1"/>
            </wp:cNvGraphicFramePr>
            <a:graphic>
              <a:graphicData uri="http://schemas.openxmlformats.org/drawingml/2006/picture">
                <pic:pic>
                  <pic:nvPicPr>
                    <pic:cNvPr id="0" name="A 52778-2025 karta.png"/>
                    <pic:cNvPicPr/>
                  </pic:nvPicPr>
                  <pic:blipFill>
                    <a:blip r:embed="rId16"/>
                    <a:stretch>
                      <a:fillRect/>
                    </a:stretch>
                  </pic:blipFill>
                  <pic:spPr>
                    <a:xfrm>
                      <a:off x="0" y="0"/>
                      <a:ext cx="5486400" cy="5076446"/>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6732097, E 577818 i SWEREF 99 TM.</w:t>
      </w:r>
    </w:p>
    <w:p>
      <w:r>
        <w:t>I och inom 9 meter från avverkningsanmälan finns fynd av 10 naturvårdsarter, varav 7 är rödlistade, 2 är fridlysta, 9 är typiska (T) och 2 är signalarter (S): garnlav (VU, T), knärot (VU, T, §8), dropptaggsvamp (NT, T), kolflarnlav (NT, T), motaggsvamp (NT, T), svart taggsvamp (NT), ullticka (NT, T), bronshjon (S, T), mindre märgborre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1.78 ha med buffertzonerna och får av detta skäl inte avverkas.</w:t>
      </w:r>
    </w:p>
    <w:p>
      <w:pPr>
        <w:pStyle w:val="Caption"/>
      </w:pPr>
      <w:r>
        <w:drawing>
          <wp:inline xmlns:a="http://schemas.openxmlformats.org/drawingml/2006/main" xmlns:pic="http://schemas.openxmlformats.org/drawingml/2006/picture">
            <wp:extent cx="5486400" cy="6490011"/>
            <wp:docPr id="2" name="Picture 2"/>
            <wp:cNvGraphicFramePr>
              <a:graphicFrameLocks noChangeAspect="1"/>
            </wp:cNvGraphicFramePr>
            <a:graphic>
              <a:graphicData uri="http://schemas.openxmlformats.org/drawingml/2006/picture">
                <pic:pic>
                  <pic:nvPicPr>
                    <pic:cNvPr id="0" name="A 52778-2025 karta knärot.png"/>
                    <pic:cNvPicPr/>
                  </pic:nvPicPr>
                  <pic:blipFill>
                    <a:blip r:embed="rId17"/>
                    <a:stretch>
                      <a:fillRect/>
                    </a:stretch>
                  </pic:blipFill>
                  <pic:spPr>
                    <a:xfrm>
                      <a:off x="0" y="0"/>
                      <a:ext cx="5486400" cy="64900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6732097, E 577818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Svart taggsvamp (NT)</w:t>
      </w:r>
      <w:r>
        <w:t xml:space="preserve"> bildar mykorrhiza med tall, möjligen även med gran, i barrskog på kalkrik eller annan basiskt påverkad mark. Den totala populationen i landet har minskat och bedöms fortsätta minska till följd av avverkning av kalkbarrskogar.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Minskningstakten uppgår till 25 (15–50) % inom 50 år och bedöms vara nära gränsvärdet för sårbar (VU)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