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5020-2026 i Sandvikens kommun</w:t>
      </w:r>
    </w:p>
    <w:p>
      <w:r>
        <w:t>Detta dokument behandlar höga naturvärden i avverkningsanmälan A 5020-2026 i Sandvikens kommun. Denna avverkningsanmälan inkom 2026-01-27 10:32:41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dofttaggsvamp (NT) och orange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8183"/>
            <wp:docPr id="1" name="Picture 1"/>
            <wp:cNvGraphicFramePr>
              <a:graphicFrameLocks noChangeAspect="1"/>
            </wp:cNvGraphicFramePr>
            <a:graphic>
              <a:graphicData uri="http://schemas.openxmlformats.org/drawingml/2006/picture">
                <pic:pic>
                  <pic:nvPicPr>
                    <pic:cNvPr id="0" name="A 5020-2026 karta.png"/>
                    <pic:cNvPicPr/>
                  </pic:nvPicPr>
                  <pic:blipFill>
                    <a:blip r:embed="rId16"/>
                    <a:stretch>
                      <a:fillRect/>
                    </a:stretch>
                  </pic:blipFill>
                  <pic:spPr>
                    <a:xfrm>
                      <a:off x="0" y="0"/>
                      <a:ext cx="5486400" cy="35081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6727742, E 600180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