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14326-2024 i Söderhamns kommun</w:t>
      </w:r>
    </w:p>
    <w:p>
      <w:r>
        <w:t>Denna tillsynsbegäran behandlar höga naturvärden i avverkningsanmälan A 14326-2024 i Söderhamns kommun som inkom 2024-04-11 och omfattar 37,3 ha.</w:t>
      </w:r>
    </w:p>
    <w:p>
      <w:pPr>
        <w:pStyle w:val="Caption"/>
      </w:pPr>
      <w:r>
        <w:drawing>
          <wp:inline xmlns:a="http://schemas.openxmlformats.org/drawingml/2006/main" xmlns:pic="http://schemas.openxmlformats.org/drawingml/2006/picture">
            <wp:extent cx="4303819" cy="5724000"/>
            <wp:docPr id="1" name="Picture 1"/>
            <wp:cNvGraphicFramePr>
              <a:graphicFrameLocks noChangeAspect="1"/>
            </wp:cNvGraphicFramePr>
            <a:graphic>
              <a:graphicData uri="http://schemas.openxmlformats.org/drawingml/2006/picture">
                <pic:pic>
                  <pic:nvPicPr>
                    <pic:cNvPr id="0" name="A 14326-2024 karta.png"/>
                    <pic:cNvPicPr/>
                  </pic:nvPicPr>
                  <pic:blipFill>
                    <a:blip r:embed="rId16"/>
                    <a:stretch>
                      <a:fillRect/>
                    </a:stretch>
                  </pic:blipFill>
                  <pic:spPr>
                    <a:xfrm>
                      <a:off x="0" y="0"/>
                      <a:ext cx="43038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6772770, E 599854 i SWEREF 99 TM.</w:t>
      </w:r>
    </w:p>
    <w:p>
      <w:r>
        <w:t>I avverkningsanmälan finns fynd av 10 naturvårdsarter, varav 5 är rödlistade, 10 är fridlysta och 1 är typisk (T): enkelbeckasin (NT, §4), grönsångare (NT, §4), järnsparv (NT, §4), rödvingetrast (NT, §4), talltita (NT, §4), spillkråka (T, §4), grönsiska (§4), kungsfågel (§4), orre (§4) och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