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samrådsanmälan S 381-2024 i Söderhamns kommun</w:t>
      </w:r>
    </w:p>
    <w:p>
      <w:r>
        <w:t>Denna tillsynsbegäran behandlar höga naturvärden i samrådsanmälan S 381-2024 i Söderhamns kommun som inkom 2024-02-09 och omfattar 134,0 ha.</w:t>
      </w:r>
    </w:p>
    <w:p>
      <w:pPr>
        <w:pStyle w:val="Caption"/>
      </w:pPr>
      <w:r>
        <w:drawing>
          <wp:inline xmlns:a="http://schemas.openxmlformats.org/drawingml/2006/main" xmlns:pic="http://schemas.openxmlformats.org/drawingml/2006/picture">
            <wp:extent cx="4669682" cy="5724000"/>
            <wp:docPr id="1" name="Picture 1"/>
            <wp:cNvGraphicFramePr>
              <a:graphicFrameLocks noChangeAspect="1"/>
            </wp:cNvGraphicFramePr>
            <a:graphic>
              <a:graphicData uri="http://schemas.openxmlformats.org/drawingml/2006/picture">
                <pic:pic>
                  <pic:nvPicPr>
                    <pic:cNvPr id="0" name="S 381-2024 karta.png"/>
                    <pic:cNvPicPr/>
                  </pic:nvPicPr>
                  <pic:blipFill>
                    <a:blip r:embed="rId16"/>
                    <a:stretch>
                      <a:fillRect/>
                    </a:stretch>
                  </pic:blipFill>
                  <pic:spPr>
                    <a:xfrm>
                      <a:off x="0" y="0"/>
                      <a:ext cx="4669682" cy="5724000"/>
                    </a:xfrm>
                    <a:prstGeom prst="rect"/>
                  </pic:spPr>
                </pic:pic>
              </a:graphicData>
            </a:graphic>
          </wp:inline>
        </w:drawing>
      </w:r>
    </w:p>
    <w:p>
      <w:pPr>
        <w:pStyle w:val="Caption"/>
        <w:spacing w:after="240"/>
      </w:pPr>
      <w:r>
        <w:t>Figur 1. Fyndplatser för naturvårdsarter i och inom 3 meter från samrådsanmälan. Markörer utan svart kant är placerade på fyndplatsen. Markörer med svart kant är placerade vid sidan av fyndplatsen och har ett svart streck som visar fyndplatsens exakta position. Kartans mittpunktskoordinat är N 6772864, E 617183 i SWEREF 99 TM.</w:t>
      </w:r>
    </w:p>
    <w:p>
      <w:r>
        <w:t>I och inom 3 meter från samrådsanmälan finns fynd av 7 naturvårdsarter, varav 2 är rödlistade, 5 är fridlysta, 3 är typiska (T) och 1 är signalart (S): höstlåsbräken (NT, §8), vårärt (NT, T), tibast (S, T), blåsippa (T, §9), fläcknycklar (§8), nattviol (§8) och revlummer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r>
        <w:rPr>
          <w:b/>
        </w:rPr>
        <w:t>Vårärt (NT)</w:t>
      </w:r>
      <w:r>
        <w:t xml:space="preserve"> är en kalkgynnad mullväxt som är knuten till rik lundartad vegetation och har sin huvudsakliga förekomst i sydliga kalklövskogar, lövängen och hässlen. Den har även viktiga förekomster av reliktkaraktär i örtrika kalkgranskogar på frisk eller något fuktig mark i mellersta Sverige. Vårärt är en extra betydelsefull signalart i boreala och boreonemorala kalkgranskogar, då dessa förekomster nu är starkt fragmenterade och troligen visar på en flertusenårig ekologisk kontinuitet där spridning och etablering kan ha skett under postglaciala värmetiden. Arten tål inte dagens storskaliga skogsbruksmetoder och den kommer in på rödlistan för första gången 2025 till följd av en kraftig minskning (&gt;50%) i Riksskogstaxeringens data. Vårärt är typisk art för </w:t>
      </w:r>
      <w:r>
        <w:rPr>
          <w:i/>
        </w:rPr>
        <w:t xml:space="preserve">9050 Näringsrik granskog, 9020 Nordlig ädellövskog, 9160 Näringsrik ekskog </w:t>
      </w:r>
      <w:r>
        <w:t xml:space="preserve">och </w:t>
      </w:r>
      <w:r>
        <w:rPr>
          <w:i/>
        </w:rPr>
        <w:t>9180 Ädellövskog i branter</w:t>
      </w:r>
      <w:r>
        <w:t xml:space="preserve"> (Nitare &amp; Skogsstyrelsen, 2019; SLU Artdatabanken, 2026).</w:t>
      </w:r>
    </w:p>
    <w:p>
      <w:r>
        <w:rPr>
          <w:b/>
        </w:rPr>
        <w:t>Tibast</w:t>
      </w:r>
      <w:r>
        <w:t xml:space="preserve"> är en kalkgynnad buske som växer på mullrik, frisk eller svagt fuktig mark, exempelvis i gamla kalkgranskogar, lövträdslundar, varma källpåverkade sluttningar och exklusiva biotoper kopplade till vattendrag. Förekomster i gammal skog visar på höga naturvärden och bör alltid noteras i samband med naturvärdesinventeringar. Tibast är typisk art för </w:t>
      </w:r>
      <w:r>
        <w:rPr>
          <w:i/>
        </w:rPr>
        <w:t>9050 Näringsrik granskog</w:t>
      </w:r>
      <w:r>
        <w:t xml:space="preserve"> och värdväxt för de två fjärilsarterna större tibastmal och brun tibastmal (CR) (SLU Artdatabanken, 2024; Nitare &amp; Skogsstyrelsen, 2019).</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