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18274-2023 i Söderhamns kommun</w:t>
      </w:r>
    </w:p>
    <w:p>
      <w:r>
        <w:t>Detta dokument behandlar höga naturvärden i avverkningsanmälan A 18274-2023 i Söderhamns kommun. Denna avverkningsanmälan inkom 2023-04-25 12:39:45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hackspett (NT, §4), rödvingetrast (NT, §4), talltita (NT, §4), ärtsångare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18274-2023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6778973, E 614563 i SWEREF 99 TM.</w:t>
      </w:r>
    </w:p>
    <w:p>
      <w:pPr>
        <w:pStyle w:val="Heading1"/>
      </w:pPr>
      <w:r>
        <w:t>Fridlysta arter</w:t>
      </w:r>
    </w:p>
    <w:p>
      <w:r>
        <w:t>Följande fridlysta arter har sina livsmiljöer och växtplatser i den avverkningsanmälda skogen: mindre hackspett (NT, §4), rödvingetrast (NT, §4), talltita (NT, §4), ärtsångare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