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14326-2024 i Söderhamns kommun</w:t>
      </w:r>
    </w:p>
    <w:p>
      <w:r>
        <w:t>Detta dokument behandlar höga naturvärden i avverkningsanmälan A 14326-2024 i Söderhamns kommun som inkom 2024-04-11 och omfattar 37,3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enkelbeckasin (NT, §4), grönsångare (NT, §4), järnsparv (NT, §4), rödvingetrast (NT, §4), talltita (NT, §4), spillkråka (T, §4), grönsiska (§4), kungsfågel (§4), orre (§4) och smålom (§4).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276751" cy="5688000"/>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4276751"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6772770, E 599854 i SWEREF 99 TM.</w:t>
      </w:r>
    </w:p>
    <w:p>
      <w:pPr>
        <w:pStyle w:val="Heading2"/>
      </w:pPr>
      <w:r>
        <w:t>Fridlysta arter</w:t>
      </w:r>
    </w:p>
    <w:p>
      <w:r>
        <w:t>Följande fridlysta arter har sina livsmiljöer och växtplatser i den avverkningsanmälda skogen: enkelbeckasin (NT, §4), grönsångare (NT, §4), järnsparv (NT, §4), rödvingetrast (NT, §4), talltita (NT, §4), spillkråka (T, §4), grönsiska (§4), kungsfågel (§4), orre (§4) och smålom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