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65976-2019 i Söderhamns kommun</w:t>
      </w:r>
    </w:p>
    <w:p>
      <w:r>
        <w:t>Detta dokument behandlar höga naturvärden i avverkningsanmälan A 65976-2019 i Söderhamns kommun. Denna avverkningsanmälan inkom 2019-12-06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violgubbe (VU), gul taggsvamp (NT), kandelabersvamp (NT), koralltaggsvamp (NT)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0743"/>
            <wp:docPr id="1" name="Picture 1"/>
            <wp:cNvGraphicFramePr>
              <a:graphicFrameLocks noChangeAspect="1"/>
            </wp:cNvGraphicFramePr>
            <a:graphic>
              <a:graphicData uri="http://schemas.openxmlformats.org/drawingml/2006/picture">
                <pic:pic>
                  <pic:nvPicPr>
                    <pic:cNvPr id="0" name="A 65976-2019 karta.png"/>
                    <pic:cNvPicPr/>
                  </pic:nvPicPr>
                  <pic:blipFill>
                    <a:blip r:embed="rId16"/>
                    <a:stretch>
                      <a:fillRect/>
                    </a:stretch>
                  </pic:blipFill>
                  <pic:spPr>
                    <a:xfrm>
                      <a:off x="0" y="0"/>
                      <a:ext cx="5486400" cy="4310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6786806, E 593490 i SWEREF 99 TM.</w:t>
      </w:r>
    </w:p>
    <w:p>
      <w:r>
        <w:rPr>
          <w:b/>
        </w:rPr>
        <w:t xml:space="preserve">Gul taggsvamp (NT) </w:t>
      </w:r>
      <w:r>
        <w:t>bildar mykorrhiza med gran helst på kalkrik mark, gärna i fuktig äldre ängsgranskog. Slutavverkning och markberedning missgynnar arten och fler områden med äldre skog på näringsrik mark, framför allt i södra och mellersta Sverige, behöver bevaras (SLU Artdatabanken, 2024).</w:t>
      </w:r>
    </w:p>
    <w:p>
      <w:r>
        <w:rPr>
          <w:b/>
        </w:rPr>
        <w:t>Kandelabersvamp (NT)</w:t>
      </w:r>
      <w:r>
        <w:t xml:space="preserve"> är en mycket bra signalart på skyddsvärda skogsbestånd i hela sitt utbredningsområde. Svampen indikerar sena aspsuccessioner inom områden med konstant hög luftfuktighet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p>
      <w:r>
        <w:rPr>
          <w:b/>
        </w:rPr>
        <w:t>Violgubbe (VU)</w:t>
      </w:r>
      <w:r>
        <w:t xml:space="preserve"> bildar mykorrhiza med gran och bok och ev. andra trädslag i ängsgran- och ängsbokskog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2024; Nitare &amp; Skogsstyrelsen, 2019; Aronsson,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