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15765-2025 i Söderhamns kommun</w:t>
      </w:r>
    </w:p>
    <w:p>
      <w:r>
        <w:t>Detta dokument behandlar höga naturvärden i avverkningsanmälan A 15765-2025 i Söderhamns kommun. Denna avverkningsanmälan inkom 2025-04-01 och omfattar 37,6 ha.</w:t>
      </w:r>
    </w:p>
    <w:p>
      <w:r>
        <w:t>Nedan presenteras fynd av naturvårdsarter och fridlysta arter som gjorts i det avverkningsanmälda området, samt relevanta utdrag ur standarderna för FSC, Chain of Custody, Controlled Wood och PEFC. I BILAGA 1 finns artfakta om fridlysta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6 naturvårdsarter hittats: knärot (VU, §8), kortskaftad ärgspik (NT), sårläka (S), vårärt (S), nattviol (§8) och blåsippa (§9). Av dessa är 2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7092878"/>
            <wp:docPr id="1" name="Picture 1"/>
            <wp:cNvGraphicFramePr>
              <a:graphicFrameLocks noChangeAspect="1"/>
            </wp:cNvGraphicFramePr>
            <a:graphic>
              <a:graphicData uri="http://schemas.openxmlformats.org/drawingml/2006/picture">
                <pic:pic>
                  <pic:nvPicPr>
                    <pic:cNvPr id="0" name="A 15765-2025 karta.png"/>
                    <pic:cNvPicPr/>
                  </pic:nvPicPr>
                  <pic:blipFill>
                    <a:blip r:embed="rId16"/>
                    <a:stretch>
                      <a:fillRect/>
                    </a:stretch>
                  </pic:blipFill>
                  <pic:spPr>
                    <a:xfrm>
                      <a:off x="0" y="0"/>
                      <a:ext cx="5486400" cy="7092878"/>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6792308, E 603849 i SWEREF 99 TM.</w:t>
      </w:r>
    </w:p>
    <w:p>
      <w:r>
        <w:rPr>
          <w:b/>
        </w:rPr>
        <w:t>Kortskaftad ärgspik (NT)</w:t>
      </w:r>
      <w:r>
        <w:t xml:space="preserve"> förekommer i barrträdsdominerade skogar och växer nästan uteslutande på tallved. Den föredrar gamla högstubbar i fuktig och halvöppen miljö, t.ex. i myrkanter, sumpskog och brandpräglad skog. Arten indikerar kontinuerlig tillgång till gamla högstubbar i kombination med hög och jämn luftfuktighet. Skogsbruk på lokaler med kortskaftad ärgspik utgör ett hot. På lång sikt bildas färre lämpliga substrat än vad som försvinner. Avverkning av barrträdsdominerade bestånd av naturskogskaraktär utgör ett långsiktigt hot. Naturskogsartade bestånd med riklig förekomst av gamla och grova tallhögstubbar bör undantas från skogsbruk (SLU Artdatabanken, 2024).</w:t>
      </w:r>
    </w:p>
    <w:p>
      <w:r>
        <w:rPr>
          <w:b/>
        </w:rPr>
        <w:t>Sårläka</w:t>
      </w:r>
      <w:r>
        <w:t xml:space="preserve"> växer på mullrik mark i skuggiga eller halvskuggiga lövskogar och lundar men också i örtrika kalkbarrskogar. Arten ingår i en exklusiv lundflora som bara uppträder i de allra rikaste kalkbarrskogarna söder om den biologiska norrlandsgränsen. I ädellövskogar och lundar är den också knuten till områden med en mycket rik mångfald av naturvårdsarter. Sårläka är värdväxt för den rödlistade fjärilen sårläkeplattmal (NT) (SLU Artdatabanken, 2024; Nitare &amp; Skogsstyrelsen, 2019).</w:t>
      </w:r>
    </w:p>
    <w:p>
      <w:r>
        <w:rPr>
          <w:b/>
        </w:rPr>
        <w:t>Vårärt</w:t>
      </w:r>
      <w:r>
        <w:t xml:space="preserve"> är en kalkgynnad mullväxt som är knuten till rik lundartad vegetation och har sin huvudsakliga förekomst i sydliga kalklövskogar, lövängen och hässlen. Den har även viktiga förekomster av reliktkaraktär i örtrika kalkgranskogar på frisk eller något fuktig mark i mellersta Sverige. Vårärt är en extra betydelsefull signalart i boreala (och boreonemorala) kalkgranskogar, då dessa förekomster nu är starkt fragmenterade och troligen visar på en flertusenårig ekologisk kontinuitet där spridning och etablering kan ha skett under postglaciala värmetiden. Arten tål inte dagens rationella skogsbruksmetoder (Nitare &amp; Skogsstyrelsen, 2019).</w:t>
      </w:r>
    </w:p>
    <w:p>
      <w:pPr>
        <w:pStyle w:val="Heading1"/>
      </w:pPr>
      <w:r>
        <w:t>Fridlysta arter</w:t>
      </w:r>
    </w:p>
    <w:p>
      <w:r>
        <w:t>Följande fridlysta arter har sina livsmiljöer och växtplatser i den avverkningsanmälda skogen: knärot (VU, §8), nattviol (§8) och blåsippa (§9).</w:t>
      </w:r>
    </w:p>
    <w:p>
      <w:r>
        <w:rPr>
          <w:b/>
        </w:rPr>
        <w:t>Knärot (VU, §8)</w:t>
      </w:r>
      <w:r>
        <w:t xml:space="preserve"> är rödlistad som sårbar (VU). För att knärot inte ska ta skada av skogsbruksåtgärder i intilliggande skog krävs buffertzoner på minst 50 meter (Johnson, 2014; Koelmeijer m.fl., 2022; Skogsstyrelsen, 2022). Arten är även känslig för gallring vilket framgår av Skogsstyrelsens egen vägledning för hänsyn till knärot (Skogsstyrelsen, 2022). För rika förekomster av knärot är reservatsbildning eller biotopskydd lämpliga åtgärder för att skydda den (SLU Artdatabanken, 2023).</w:t>
      </w:r>
    </w:p>
    <w:p>
      <w:r>
        <w:t>I det avverkningsanmälda området finns 2 fyndplatser för knärot registrerade på Artportalen. Figur 2 visar gränserna för buffertzoner på 50 m, som behöver lämnas kring fyndplatserna för att knärotslokalerna inte ska försvinna vid en avverkning. Av det avverkningsanmälda området överlappar 1.57 ha med buffertzonerna och får av detta skäl inte avverkas.</w:t>
      </w:r>
    </w:p>
    <w:p>
      <w:pPr>
        <w:pStyle w:val="Caption"/>
      </w:pPr>
      <w:r>
        <w:drawing>
          <wp:inline xmlns:a="http://schemas.openxmlformats.org/drawingml/2006/main" xmlns:pic="http://schemas.openxmlformats.org/drawingml/2006/picture">
            <wp:extent cx="5486400" cy="9751231"/>
            <wp:docPr id="2" name="Picture 2"/>
            <wp:cNvGraphicFramePr>
              <a:graphicFrameLocks noChangeAspect="1"/>
            </wp:cNvGraphicFramePr>
            <a:graphic>
              <a:graphicData uri="http://schemas.openxmlformats.org/drawingml/2006/picture">
                <pic:pic>
                  <pic:nvPicPr>
                    <pic:cNvPr id="0" name="A 15765-2025 karta knärot.png"/>
                    <pic:cNvPicPr/>
                  </pic:nvPicPr>
                  <pic:blipFill>
                    <a:blip r:embed="rId17"/>
                    <a:stretch>
                      <a:fillRect/>
                    </a:stretch>
                  </pic:blipFill>
                  <pic:spPr>
                    <a:xfrm>
                      <a:off x="0" y="0"/>
                      <a:ext cx="5486400" cy="9751231"/>
                    </a:xfrm>
                    <a:prstGeom prst="rect"/>
                  </pic:spPr>
                </pic:pic>
              </a:graphicData>
            </a:graphic>
          </wp:inline>
        </w:drawing>
      </w:r>
    </w:p>
    <w:p>
      <w:pPr>
        <w:pStyle w:val="Caption"/>
      </w:pPr>
      <w:r>
        <w:t>Figur 2. Fyndplatser och buffertzoner för knärot i det avverkningsanmälda området. Endast fyndplatser vars buffertzoner överlappar med det avverkningsanmälda området har tagits med i visualiseringen. Kartans mittpunktskoordinat är N 6792308, E 603849 i SWEREF 99 TM.</w:t>
      </w:r>
    </w:p>
    <w:p>
      <w:pPr>
        <w:pStyle w:val="Caption"/>
      </w:pP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6 naturvårdsarter varav 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Knärot – ekologi samt krav på livsmiljön</w:t>
      </w:r>
    </w:p>
    <w:p>
      <w:r>
        <w:t>Knärot är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2021).</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En nyligen publicerad vetenskaplig uppsats av Koelmeijer m.fl. (2022) inkluderar orkidén knärots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2025-05-20</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