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8176-2020 i Söderhamns kommun</w:t>
      </w:r>
    </w:p>
    <w:p>
      <w:r>
        <w:t>Detta dokument behandlar höga naturvärden i avverkningsanmälan A 8176-2020 i Söderhamns kommun. Denna avverkningsanmälan inkom 2020-02-13 och omfattar 1,8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6 naturvårdsarter hittats: raggtaggsvamp (EN), kopparspindling (VU), tvillingspindling (VU), motaggsvamp (NT), kryddspindling (S) och skarp dropptaggsvamp (S). Av dessa är 4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718426"/>
            <wp:docPr id="1" name="Picture 1"/>
            <wp:cNvGraphicFramePr>
              <a:graphicFrameLocks noChangeAspect="1"/>
            </wp:cNvGraphicFramePr>
            <a:graphic>
              <a:graphicData uri="http://schemas.openxmlformats.org/drawingml/2006/picture">
                <pic:pic>
                  <pic:nvPicPr>
                    <pic:cNvPr id="0" name="A 8176-2020 karta.png"/>
                    <pic:cNvPicPr/>
                  </pic:nvPicPr>
                  <pic:blipFill>
                    <a:blip r:embed="rId16"/>
                    <a:stretch>
                      <a:fillRect/>
                    </a:stretch>
                  </pic:blipFill>
                  <pic:spPr>
                    <a:xfrm>
                      <a:off x="0" y="0"/>
                      <a:ext cx="5486400" cy="671842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6793419, E 601593 i SWEREF 99 TM.</w:t>
      </w:r>
    </w:p>
    <w:p>
      <w:r>
        <w:rPr>
          <w:b/>
        </w:rPr>
        <w:t xml:space="preserve">Kopparspindling (VU) </w:t>
      </w:r>
      <w:r>
        <w:t>bildar mykorrhiza med tall och gran i äldre ängsgranskog på kalkrik mark, mer sällan i ren kalktallskog.</w:t>
      </w:r>
      <w:r>
        <w:rPr>
          <w:b/>
        </w:rPr>
        <w:t xml:space="preserve"> </w:t>
      </w:r>
      <w:r>
        <w:t>Minskningstakten uppgår till 30 % inom 50 år och överstiger gränsvärdet för Sårbar (VU) enligt A-kriteriet. (A2c+3c+4c).</w:t>
      </w:r>
      <w:r>
        <w:rPr>
          <w:b/>
        </w:rPr>
        <w:t xml:space="preserve"> </w:t>
      </w:r>
      <w:r>
        <w:t>Intensivt skogsbruk, särskilt kalavverkning och markberedning missgynnar arten och lokaler som även hyser ett stort antal andra hotade arter bör helt undantas från skogsbruk.</w:t>
      </w:r>
      <w:r>
        <w:rPr>
          <w:b/>
        </w:rPr>
        <w:t xml:space="preserve"> </w:t>
      </w:r>
      <w:r>
        <w:t>Kopparspindling är globalt rödlistad som nära hotad (NT) vilket innebär att Sverige har ett internationellt ansvar för arten (SLU Artdatabanken, 2024; IUCN, 2015).</w:t>
      </w:r>
    </w:p>
    <w:p>
      <w:r>
        <w:rPr>
          <w:b/>
        </w:rPr>
        <w:t xml:space="preserve">Motaggsvamp (NT) </w:t>
      </w:r>
      <w:r>
        <w:t>bildar mykorrhiza med tall i tallskog och hittas huvudsakligen i äldre, glesare skogsbestånd och hällmarksimpediment. Arten hotas främst av skogsavverkning och tycks försvinna efter slutavverkning, markberedning och plantering (SLU Artdatabanken, 2024).</w:t>
      </w:r>
    </w:p>
    <w:p>
      <w:r>
        <w:rPr>
          <w:b/>
        </w:rPr>
        <w:t>Raggtaggsvamp (EN)</w:t>
      </w:r>
      <w:r>
        <w:t xml:space="preserve"> är en sällsynt och nationellt starkt hotad art som är knuten till gamla mossiga och örtrika kalkgranskogar med långvarig grankontinuitet. En ”toppart” som alltid indikerar starkt skyddsvärda kalkgranskogar. Raggtaggsvamp år globalt rödlistad som sårbar (VU) och Sverige har en betydande andel av den kända världspopulationen vilket innebär ett internationellt ansvar för arten. Arten försvinner vid slutavverkning vilket utgör det enskilt största hotet. (SLU Artdatabanken, 2024; Nitare &amp; Skogsstyrelsen, 2019; IUCN, 2015).</w:t>
      </w:r>
    </w:p>
    <w:p>
      <w:r>
        <w:rPr>
          <w:b/>
        </w:rPr>
        <w:t>Tvillingspindling (VU)</w:t>
      </w:r>
      <w:r>
        <w:t xml:space="preserve"> bildar mykorrhiza med gran och växer enbart i örtrika grandominerade kalkbarrskogar med kontinuitet och hög bonitet, miljöer som idag är starkt hotade av slutavverkningar. Tvillingspindlingen liksom en lång rad av dess följearter knutna till kalk- och örtrika barrblandskogar med lång kontinuitet är beroende av områdesskydd eller naturvårdsavtal som förhindrar slutavverkningar av dess växtmiljöer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