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16182-2026 i Söderhamns kommun</w:t>
      </w:r>
    </w:p>
    <w:p>
      <w:r>
        <w:t>Denna tillsynsbegäran behandlar höga naturvärden i avverkningsanmälan A 16182-2026 i Söderhamns kommun som inkom 2026-03-30 och omfattar 3,7 ha.</w:t>
      </w:r>
    </w:p>
    <w:p>
      <w:pPr>
        <w:pStyle w:val="Caption"/>
      </w:pPr>
      <w:r>
        <w:drawing>
          <wp:inline xmlns:a="http://schemas.openxmlformats.org/drawingml/2006/main" xmlns:pic="http://schemas.openxmlformats.org/drawingml/2006/picture">
            <wp:extent cx="5486400" cy="4411557"/>
            <wp:docPr id="1" name="Picture 1"/>
            <wp:cNvGraphicFramePr>
              <a:graphicFrameLocks noChangeAspect="1"/>
            </wp:cNvGraphicFramePr>
            <a:graphic>
              <a:graphicData uri="http://schemas.openxmlformats.org/drawingml/2006/picture">
                <pic:pic>
                  <pic:nvPicPr>
                    <pic:cNvPr id="0" name="A 16182-2026 karta.png"/>
                    <pic:cNvPicPr/>
                  </pic:nvPicPr>
                  <pic:blipFill>
                    <a:blip r:embed="rId16"/>
                    <a:stretch>
                      <a:fillRect/>
                    </a:stretch>
                  </pic:blipFill>
                  <pic:spPr>
                    <a:xfrm>
                      <a:off x="0" y="0"/>
                      <a:ext cx="5486400" cy="441155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6770835, E 615481 i SWEREF 99 TM.</w:t>
      </w:r>
    </w:p>
    <w:p>
      <w:r>
        <w:t>I och inom 15 meter från avverkningsanmälan finns fynd av 4 naturvårdsarter, varav 2 är rödlistade, 1 är fridlyst och 1 är signalart (S): gyllenspindling (VU), svartfjällig musseron (VU), strimspindling (S) och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Gyllenspindling (VU)</w:t>
      </w:r>
      <w:r>
        <w:t xml:space="preserve"> bildar mykorrhiza med gran i ängsgranskog på kalkrik mark, mer sällan med tall i kalktallskog. Minskningstakten uppgår till 30 % inom 50 år och överstiger gränsvärdet för Sårbar (VU) enligt A-kriteriet. Skogsbruk med kalavverkning, markberedning etc. är ogynnsamt för arten. Barrskog på kalkrik mark är en synnerligen skyddsvärd biotop varav fler områden behöver skyddas (SLU Artdatabanken, 2024).</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