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965-2026 i Bollnäs kommun</w:t>
      </w:r>
    </w:p>
    <w:p>
      <w:r>
        <w:t>Denna tillsynsbegäran behandlar höga naturvärden i samrådsanmälan S 965-2026 i Bollnäs kommun som inkom 2026-04-02 och omfattar 11,4 ha.</w:t>
      </w:r>
    </w:p>
    <w:p>
      <w:pPr>
        <w:pStyle w:val="Caption"/>
      </w:pPr>
      <w:r>
        <w:drawing>
          <wp:inline xmlns:a="http://schemas.openxmlformats.org/drawingml/2006/main" xmlns:pic="http://schemas.openxmlformats.org/drawingml/2006/picture">
            <wp:extent cx="4372664" cy="5724000"/>
            <wp:docPr id="1" name="Picture 1"/>
            <wp:cNvGraphicFramePr>
              <a:graphicFrameLocks noChangeAspect="1"/>
            </wp:cNvGraphicFramePr>
            <a:graphic>
              <a:graphicData uri="http://schemas.openxmlformats.org/drawingml/2006/picture">
                <pic:pic>
                  <pic:nvPicPr>
                    <pic:cNvPr id="0" name="S 965-2026 karta.png"/>
                    <pic:cNvPicPr/>
                  </pic:nvPicPr>
                  <pic:blipFill>
                    <a:blip r:embed="rId16"/>
                    <a:stretch>
                      <a:fillRect/>
                    </a:stretch>
                  </pic:blipFill>
                  <pic:spPr>
                    <a:xfrm>
                      <a:off x="0" y="0"/>
                      <a:ext cx="4372664" cy="572400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6803620, E 591180 i SWEREF 99 TM.</w:t>
      </w:r>
    </w:p>
    <w:p>
      <w:r>
        <w:t>I och inom 6 meter från samrådsanmälan finns fynd av 7 naturvårdsarter, varav 7 är rödlistade och 3 är typiska (T): lammticka (VU), skrovlig taggsvamp (VU), tallgråticka (VU), blå taggsvamp (NT, T), orange taggsvamp (NT, T), tallfingersvamp (NT)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