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52434-2025 i Bollnäs kommun</w:t>
      </w:r>
    </w:p>
    <w:p>
      <w:r>
        <w:t>Detta dokument behandlar höga naturvärden i avverkningsanmälan A 52434-2025 i Bollnäs kommun. Denna avverkningsanmälan inkom 2025-10-24 09:22:33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glesgröe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2434-2025 karta.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6804692, E 582769 i SWEREF 99 TM.</w:t>
      </w:r>
    </w:p>
    <w:p>
      <w:r>
        <w:rPr>
          <w:b/>
        </w:rPr>
        <w:t xml:space="preserve">Glesgröe (VU) </w:t>
      </w:r>
      <w:r>
        <w:t>är i huvudsak en sumpskogsart och de flesta lokalerna ligger i anslutning till bäckraviner och skogsbäckar. Det är främst förändringar av hydrologiska förhållanden genom bland annat dikning och avverkning som hotar arten. Ofta utgör lokalerna värdefulla skogsmiljöer som bör undantas från skogsbruk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