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25384-2021 i Hudiksvalls kommun</w:t>
      </w:r>
    </w:p>
    <w:p>
      <w:r>
        <w:t>Detta dokument behandlar höga naturvärden i avverkningsanmälan A 25384-2021 i Hudiksvalls kommun. Denna avverkningsanmälan inkom 2021-05-26 14:30:46 och omfattar 7,6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23 naturvårdsarter hittats: knärot (VU, §8), doftskinn (NT), gammelgransskål (NT), garnlav (NT), gränsticka (NT), kortskaftad ärgspik (NT), lunglav (NT), ullticka (NT), violettgrå tagellav (NT), vitgrynig nållav (NT), barkkornlav (S), bronshjon (S), kattfotslav (S), korallblylav (S), källpraktmossa (S), mörk husmossa (S), skinnlav (S), spindelblomster (S, §8), stor aspticka (S), stuplav (S), thomsons trägnagare (S), vedticka (S) och vågbandad barkbock (S).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34587"/>
            <wp:docPr id="1" name="Picture 1"/>
            <wp:cNvGraphicFramePr>
              <a:graphicFrameLocks noChangeAspect="1"/>
            </wp:cNvGraphicFramePr>
            <a:graphic>
              <a:graphicData uri="http://schemas.openxmlformats.org/drawingml/2006/picture">
                <pic:pic>
                  <pic:nvPicPr>
                    <pic:cNvPr id="0" name="A 25384-2021 karta.png"/>
                    <pic:cNvPicPr/>
                  </pic:nvPicPr>
                  <pic:blipFill>
                    <a:blip r:embed="rId16"/>
                    <a:stretch>
                      <a:fillRect/>
                    </a:stretch>
                  </pic:blipFill>
                  <pic:spPr>
                    <a:xfrm>
                      <a:off x="0" y="0"/>
                      <a:ext cx="5486400" cy="27345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6866998, E 566451 i SWEREF 99 TM.</w:t>
      </w:r>
    </w:p>
    <w:p>
      <w:r>
        <w:rPr>
          <w:b/>
        </w:rPr>
        <w:t>Barkkornlav</w:t>
      </w:r>
      <w:r>
        <w:t xml:space="preserve"> växer på bark av bl.a. gran, ek, al, asp, rönn, sälg och en i ädellövskogar, granskogar, barr- och lövblandskogar med hög luftfuktighet. Barkkornlav är typisk art för </w:t>
      </w:r>
      <w:r>
        <w:rPr>
          <w:i/>
        </w:rPr>
        <w:t>9190 Näringsfattig ekskog</w:t>
      </w:r>
      <w:r>
        <w:t xml:space="preserve"> (SLU Artdatabanken, 2025).</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 xml:space="preserve">Källpraktmossa </w:t>
      </w:r>
      <w:r>
        <w:t xml:space="preserve">växer på fuktig eller blöt, näringsrik och ofta mineralrik mark, t.ex. i sumpskogar. Den är en god signalart i södra och mellersta Sverige och förekommer ofta i artrika miljöer med t.ex. kärrkammossa, bågpraktmossa, filtrundmossa och skogshakmossa. Eftersom mängden våtmarker har reducerats kraftigt i södra Sverige under det senaste seklet har förekomsten av källpraktmossa troligen minskat i söder. Källpraktmossa är typisk art för </w:t>
      </w:r>
      <w:r>
        <w:rPr>
          <w:i/>
        </w:rPr>
        <w:t xml:space="preserve">7160 Källor och källkärr, 9750 Svämlövskog </w:t>
      </w:r>
      <w:r>
        <w:t>och</w:t>
      </w:r>
      <w:r>
        <w:rPr>
          <w:i/>
        </w:rPr>
        <w:t xml:space="preserve"> 9080 Lövsumpskog </w:t>
      </w:r>
      <w:r>
        <w:t>(Nitare &amp; Skogsstyrelsen, 2019; SLU Artdatabanken, 2025).</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pPr>
        <w:pStyle w:val="Heading1"/>
      </w:pPr>
      <w:r>
        <w:t>Fridlysta arter</w:t>
      </w:r>
    </w:p>
    <w:p>
      <w:r>
        <w:t>Följande fridlysta arter har sina livsmiljöer och växtplatser i den avverkningsanmälda skogen: knärot (VU, §8) och spindelblomster (S,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14 fyndplatser för knärot registrerade på Artportalen. Figur 2 visar gränserna för buffertzoner på 50 m, som behöver lämnas kring fyndplatserna för att knärotslokalerna inte ska försvinna vid en avverkning. Av det avverkningsanmälda området överlappar 2.91 ha med buffertzonerna och får av detta skäl inte avverkas.</w:t>
      </w:r>
    </w:p>
    <w:p>
      <w:pPr>
        <w:pStyle w:val="Caption"/>
      </w:pPr>
      <w:r>
        <w:drawing>
          <wp:inline xmlns:a="http://schemas.openxmlformats.org/drawingml/2006/main" xmlns:pic="http://schemas.openxmlformats.org/drawingml/2006/picture">
            <wp:extent cx="5486400" cy="3072190"/>
            <wp:docPr id="2" name="Picture 2"/>
            <wp:cNvGraphicFramePr>
              <a:graphicFrameLocks noChangeAspect="1"/>
            </wp:cNvGraphicFramePr>
            <a:graphic>
              <a:graphicData uri="http://schemas.openxmlformats.org/drawingml/2006/picture">
                <pic:pic>
                  <pic:nvPicPr>
                    <pic:cNvPr id="0" name="A 25384-2021 karta knärot.png"/>
                    <pic:cNvPicPr/>
                  </pic:nvPicPr>
                  <pic:blipFill>
                    <a:blip r:embed="rId17"/>
                    <a:stretch>
                      <a:fillRect/>
                    </a:stretch>
                  </pic:blipFill>
                  <pic:spPr>
                    <a:xfrm>
                      <a:off x="0" y="0"/>
                      <a:ext cx="5486400" cy="307219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6866998, E 566451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23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23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2026-05-08</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