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13021-2022 i Hudiksvalls kommun</w:t>
      </w:r>
    </w:p>
    <w:p>
      <w:r>
        <w:t>Detta klagomål behandlar höga naturvärden i avverkningsanmälan A 13021-2022 i Hudiksvalls kommun som inkom 2022-03-23 och omfattar 8,1 ha.</w:t>
      </w:r>
    </w:p>
    <w:p>
      <w:pPr>
        <w:pStyle w:val="Caption"/>
      </w:pPr>
      <w:r>
        <w:drawing>
          <wp:inline xmlns:a="http://schemas.openxmlformats.org/drawingml/2006/main" xmlns:pic="http://schemas.openxmlformats.org/drawingml/2006/picture">
            <wp:extent cx="5486400" cy="4597012"/>
            <wp:docPr id="1" name="Picture 1"/>
            <wp:cNvGraphicFramePr>
              <a:graphicFrameLocks noChangeAspect="1"/>
            </wp:cNvGraphicFramePr>
            <a:graphic>
              <a:graphicData uri="http://schemas.openxmlformats.org/drawingml/2006/picture">
                <pic:pic>
                  <pic:nvPicPr>
                    <pic:cNvPr id="0" name="A 13021-2022 karta.png"/>
                    <pic:cNvPicPr/>
                  </pic:nvPicPr>
                  <pic:blipFill>
                    <a:blip r:embed="rId16"/>
                    <a:stretch>
                      <a:fillRect/>
                    </a:stretch>
                  </pic:blipFill>
                  <pic:spPr>
                    <a:xfrm>
                      <a:off x="0" y="0"/>
                      <a:ext cx="5486400" cy="459701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6820774, E 599432 i SWEREF 99 TM.</w:t>
      </w:r>
    </w:p>
    <w:p>
      <w:r>
        <w:t>I och inom 19 meter från avverkningsanmälan finns fynd av 22 naturvårdsarter, varav 15 är rödlistade, 5 är fridlysta, 8 är typiska (T) och 6 är signalarter (S): bombmurkla (EN, §8), brödtaggsvamp (EN), kejsarskivling (VU), porslinsblå spindling (VU, T), dofttaggsvamp (NT, T), fjällig taggsvamp s.str. (NT), gultoppig fingersvamp (NT), kattfotslav (NT, T), kryddspindling (NT, T), skarp dropptaggsvamp (NT), skogssvingel (NT, T), talltita (NT, §4), tretåig hackspett (NT, T, §4), ullticka (NT, T), vedskivlav (NT, T), guldkremla (S), gulnande spindling (S), rödgul trumpetsvamp (S), svavelriska (S), tvåblad (S, §8), zontaggsvamp (S)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 xml:space="preserve">Brödtaggsvamp (EN) </w:t>
      </w:r>
      <w:r>
        <w:t>är en sällsynt och starkt hotad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Brödtaggsvamp är globalt rödlistad som nära hotad (NT) vilket innebär att Sverige har ett internationellt ansvar för arten (IUCN, 2025; SLU Artdatabanken, 2026; Nitare &amp; Skogsstyrelsen, 2019).</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IUCN, 2019; Nitare &amp; Skogsstyrelsen, 2019).</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Skogssvingel (NT) </w:t>
      </w:r>
      <w:r>
        <w:t xml:space="preserve">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 Skogssvingel är typisk art för </w:t>
      </w:r>
      <w:r>
        <w:rPr>
          <w:i/>
        </w:rPr>
        <w:t xml:space="preserve">9020 Nordlig ädellövskog </w:t>
      </w:r>
      <w:r>
        <w:t xml:space="preserve">och </w:t>
      </w:r>
      <w:r>
        <w:rPr>
          <w:i/>
        </w:rPr>
        <w:t>9180 Ädellövskog i branter</w:t>
      </w:r>
      <w:r>
        <w:rPr>
          <w:b/>
        </w:rPr>
        <w:t xml:space="preserve"> </w:t>
      </w:r>
      <w:r>
        <w:t>(SLU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Gulnande spindling</w:t>
      </w:r>
      <w:r>
        <w:t xml:space="preserve"> signalerar gammal hedekskog och hedbokskog med höga naturvärden i sydvästra Sverige. Arten har en starkt begränsad utbredning som gör att den främst är användbar som signalart i nordvästra Götaland. Den signalerar här också höga naturvärden i äldre naturlig granskog som ligger inom ett smalt bälte i anslutning till granens spontana västgräns. Arten är knuten till humida löv- och barrskogar vilka troligen har lång trädkontinuitet och den tål inte slutavverkning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