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19521-2023 i Hudiksvalls kommun</w:t>
      </w:r>
    </w:p>
    <w:p>
      <w:r>
        <w:t>Denna tillsynsbegäran behandlar höga naturvärden i avverkningsanmälan A 19521-2023 i Hudiksvalls kommun som inkom 2023-05-04 och omfattar 9,3 ha.</w:t>
      </w:r>
    </w:p>
    <w:p>
      <w:pPr>
        <w:pStyle w:val="Caption"/>
      </w:pPr>
      <w:r>
        <w:drawing>
          <wp:inline xmlns:a="http://schemas.openxmlformats.org/drawingml/2006/main" xmlns:pic="http://schemas.openxmlformats.org/drawingml/2006/picture">
            <wp:extent cx="5277833" cy="5724000"/>
            <wp:docPr id="1" name="Picture 1"/>
            <wp:cNvGraphicFramePr>
              <a:graphicFrameLocks noChangeAspect="1"/>
            </wp:cNvGraphicFramePr>
            <a:graphic>
              <a:graphicData uri="http://schemas.openxmlformats.org/drawingml/2006/picture">
                <pic:pic>
                  <pic:nvPicPr>
                    <pic:cNvPr id="0" name="A 19521-2023 karta.png"/>
                    <pic:cNvPicPr/>
                  </pic:nvPicPr>
                  <pic:blipFill>
                    <a:blip r:embed="rId16"/>
                    <a:stretch>
                      <a:fillRect/>
                    </a:stretch>
                  </pic:blipFill>
                  <pic:spPr>
                    <a:xfrm>
                      <a:off x="0" y="0"/>
                      <a:ext cx="527783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6897359, E 556727 i SWEREF 99 TM.</w:t>
      </w:r>
    </w:p>
    <w:p>
      <w:r>
        <w:t>I och inom 24 meter från avverkningsanmälan finns fynd av 14 naturvårdsarter, varav 6 är rödlistade, 4 är fridlysta, 9 är typiska (T) och 4 är signalarter (S): garnlav (VU, T), kolflarnlav (NT, T), lunglav (NT, T), mörk kolflarnlav (NT), violmussling (NT, T), vitgrynig nållav (NT), bollvitmossa (S, T), bronshjon (S, T), nästlav (S, T), vågbandad barkbock (S), järpe (T, §4), tjäder (T, §4),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lunglav (NT, T), violmussling (NT, T), bollvitmossa (S, T), bronshjon (S, T), nästlav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