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42012-2026 i Hudiksvalls kommun</w:t>
      </w:r>
    </w:p>
    <w:p>
      <w:r>
        <w:t>Detta klagomål behandlar höga naturvärden i avverkningsanmälan A 42012-2026 i Hudiksvalls kommun som inkom 2026-10-08 och omfattar 45,0 ha.</w:t>
      </w:r>
    </w:p>
    <w:p>
      <w:pPr>
        <w:pStyle w:val="Caption"/>
      </w:pPr>
      <w:r>
        <w:drawing>
          <wp:inline xmlns:a="http://schemas.openxmlformats.org/drawingml/2006/main" xmlns:pic="http://schemas.openxmlformats.org/drawingml/2006/picture">
            <wp:extent cx="5486400" cy="4444717"/>
            <wp:docPr id="1" name="Picture 1"/>
            <wp:cNvGraphicFramePr>
              <a:graphicFrameLocks noChangeAspect="1"/>
            </wp:cNvGraphicFramePr>
            <a:graphic>
              <a:graphicData uri="http://schemas.openxmlformats.org/drawingml/2006/picture">
                <pic:pic>
                  <pic:nvPicPr>
                    <pic:cNvPr id="0" name="A 42012-2026 karta.png"/>
                    <pic:cNvPicPr/>
                  </pic:nvPicPr>
                  <pic:blipFill>
                    <a:blip r:embed="rId16"/>
                    <a:stretch>
                      <a:fillRect/>
                    </a:stretch>
                  </pic:blipFill>
                  <pic:spPr>
                    <a:xfrm>
                      <a:off x="0" y="0"/>
                      <a:ext cx="5486400" cy="444471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6884240, E 564817 i SWEREF 99 TM.</w:t>
      </w:r>
    </w:p>
    <w:p>
      <w:r>
        <w:t>I och inom 24 meter från avverkningsanmälan finns fynd av 11 naturvårdsarter, varav 4 är rödlistade, 5 är fridlysta, 6 är typiska (T) och 5 är signalarter (S): garnlav (VU, T), gammelgransskål (NT, T), storgröe (NT, T), vitgrynig nållav (NT), grov husmossa (S), korallrot (S, T, §8), spindelblomster (S, T, §8), tvåblad (S, §8), ögonpyrola (S,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533942"/>
            <wp:docPr id="2" name="Picture 2"/>
            <wp:cNvGraphicFramePr>
              <a:graphicFrameLocks noChangeAspect="1"/>
            </wp:cNvGraphicFramePr>
            <a:graphic>
              <a:graphicData uri="http://schemas.openxmlformats.org/drawingml/2006/picture">
                <pic:pic>
                  <pic:nvPicPr>
                    <pic:cNvPr id="0" name="A 42012-2026 karta knärot.png"/>
                    <pic:cNvPicPr/>
                  </pic:nvPicPr>
                  <pic:blipFill>
                    <a:blip r:embed="rId17"/>
                    <a:stretch>
                      <a:fillRect/>
                    </a:stretch>
                  </pic:blipFill>
                  <pic:spPr>
                    <a:xfrm>
                      <a:off x="0" y="0"/>
                      <a:ext cx="5486400" cy="55339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6884240, E 564817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Grov husmossa </w:t>
      </w:r>
      <w:r>
        <w:t>indikerar fuktiga och mineralrika skogsmiljöer som är mycket artrika, till exempel kalkbarrskogar och näringsrika skogar längs vattendrag. Mossan förekommer ofta tillsammans med många ovanliga och rödlistade arter. I skogslandet signalerar den överallt biotoper med höga naturvärden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