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120-2025 i Hudiksvalls kommun</w:t>
      </w:r>
    </w:p>
    <w:p>
      <w:r>
        <w:t>Detta klagomål behandlar höga naturvärden i samrådsanmälan S 120-2025 i Hudiksvalls kommun som inkom 2025-01-13 och omfattar 47,2 ha.</w:t>
      </w:r>
    </w:p>
    <w:p>
      <w:pPr>
        <w:pStyle w:val="Caption"/>
      </w:pPr>
      <w:r>
        <w:drawing>
          <wp:inline xmlns:a="http://schemas.openxmlformats.org/drawingml/2006/main" xmlns:pic="http://schemas.openxmlformats.org/drawingml/2006/picture">
            <wp:extent cx="5486400" cy="5659853"/>
            <wp:docPr id="1" name="Picture 1"/>
            <wp:cNvGraphicFramePr>
              <a:graphicFrameLocks noChangeAspect="1"/>
            </wp:cNvGraphicFramePr>
            <a:graphic>
              <a:graphicData uri="http://schemas.openxmlformats.org/drawingml/2006/picture">
                <pic:pic>
                  <pic:nvPicPr>
                    <pic:cNvPr id="0" name="S 120-2025 karta.png"/>
                    <pic:cNvPicPr/>
                  </pic:nvPicPr>
                  <pic:blipFill>
                    <a:blip r:embed="rId16"/>
                    <a:stretch>
                      <a:fillRect/>
                    </a:stretch>
                  </pic:blipFill>
                  <pic:spPr>
                    <a:xfrm>
                      <a:off x="0" y="0"/>
                      <a:ext cx="5486400" cy="5659853"/>
                    </a:xfrm>
                    <a:prstGeom prst="rect"/>
                  </pic:spPr>
                </pic:pic>
              </a:graphicData>
            </a:graphic>
          </wp:inline>
        </w:drawing>
      </w:r>
    </w:p>
    <w:p>
      <w:pPr>
        <w:pStyle w:val="Caption"/>
        <w:spacing w:after="240"/>
      </w:pPr>
      <w:r>
        <w:t>Figur 1. Fyndplatser för naturvårdsarter i och inom 25 meter från samrådsanmälan. Markörer utan svart kant är placerade på fyndplatsen. Markörer med svart kant är placerade vid sidan av fyndplatsen och har ett svart streck som visar fyndplatsens exakta position. Kartans mittpunktskoordinat är N 6866927, E 584178 i SWEREF 99 TM.</w:t>
      </w:r>
    </w:p>
    <w:p>
      <w:r>
        <w:t>I och inom 25 meter från samrådsanmälan finns fynd av 6 naturvårdsarter, varav 4 är rödlistade, 3 är fridlysta och 4 är typiska (T): knärot (VU, T, §8), ulltickeporing (VU), enkelbeckasin (NT, §4), ullticka (NT, T), blåsippa (T, §9) och kärrfibbla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samrådsanmälda området finns 4 fyndplatser för knärot registrerade på Artportalen. Figur 2 visar gränserna för buffertzoner på 50 m, som behöver lämnas kring fyndplatserna för att knärotslokalerna inte ska försvinna vid en avverkning. Av det samrådsanmälda området överlappar 0.49 ha med buffertzonerna och får av detta skäl inte avverkas.</w:t>
      </w:r>
    </w:p>
    <w:p>
      <w:pPr>
        <w:pStyle w:val="Caption"/>
      </w:pPr>
      <w:r>
        <w:drawing>
          <wp:inline xmlns:a="http://schemas.openxmlformats.org/drawingml/2006/main" xmlns:pic="http://schemas.openxmlformats.org/drawingml/2006/picture">
            <wp:extent cx="5486400" cy="5541075"/>
            <wp:docPr id="2" name="Picture 2"/>
            <wp:cNvGraphicFramePr>
              <a:graphicFrameLocks noChangeAspect="1"/>
            </wp:cNvGraphicFramePr>
            <a:graphic>
              <a:graphicData uri="http://schemas.openxmlformats.org/drawingml/2006/picture">
                <pic:pic>
                  <pic:nvPicPr>
                    <pic:cNvPr id="0" name="S 120-2025 karta knärot.png"/>
                    <pic:cNvPicPr/>
                  </pic:nvPicPr>
                  <pic:blipFill>
                    <a:blip r:embed="rId17"/>
                    <a:stretch>
                      <a:fillRect/>
                    </a:stretch>
                  </pic:blipFill>
                  <pic:spPr>
                    <a:xfrm>
                      <a:off x="0" y="0"/>
                      <a:ext cx="5486400" cy="5541075"/>
                    </a:xfrm>
                    <a:prstGeom prst="rect"/>
                  </pic:spPr>
                </pic:pic>
              </a:graphicData>
            </a:graphic>
          </wp:inline>
        </w:drawing>
      </w:r>
    </w:p>
    <w:p>
      <w:pPr>
        <w:pStyle w:val="Caption"/>
        <w:spacing w:after="240"/>
      </w:pPr>
      <w:r>
        <w:t>Figur 2. Fyndplatser och buffertzoner för knärot i det samrådsanmälda området. Endast fyndplatser vars buffertzoner överlappar med det samrådsanmälda området har tagits med i visualiseringen. Kartans mittpunktskoordinat är N 6866927, E 584178 i SWEREF 99 TM.</w:t>
      </w:r>
    </w:p>
    <w:p>
      <w:r>
        <w:rPr>
          <w:b/>
        </w:rPr>
        <w:t xml:space="preserve">Ulltickeporing </w:t>
      </w:r>
      <w:r>
        <w:rPr>
          <w:b/>
          <w:i/>
        </w:rPr>
        <w:t>Skeletocutis brevispora</w:t>
      </w:r>
      <w:r>
        <w:rPr>
          <w:b/>
        </w:rPr>
        <w:t xml:space="preserve"> (VU)</w:t>
      </w:r>
      <w:r>
        <w:t>, rödlistad som sårbar, växer på ullticka (NT) i naturskogsartade granskogar. Avverkning av naturskogslika miljöer och av grova granar där ulltickeporing förekommer är ett direkt hot mot artens fortlevnad. Alla skogliga åtgärder som innebär att lågor och döda eller skadade träd tas bort missgynnar arten. På sikt är minskad tillgång till lämpligt substrat och krympande areal av naturskog ett hot, framförallt råder brist på grov ved som lågor i sena nedbrytningsstadier. Ytterligare fragmentering av skogslandskapet minskar artens möjligheter till spridning. Gamla granskogar som hyser arten undantas helt från skogsbruk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Kärrfibbla</w:t>
      </w:r>
      <w:r>
        <w:t xml:space="preserve"> är typisk art för </w:t>
      </w:r>
      <w:r>
        <w:rPr>
          <w:i/>
        </w:rPr>
        <w:t xml:space="preserve">9050 Näringsrik granskog, 9080 Lövsumpskog </w:t>
      </w:r>
      <w:r>
        <w:t>och</w:t>
      </w:r>
      <w:r>
        <w:rPr>
          <w:i/>
        </w:rPr>
        <w:t xml:space="preserve"> 9040 Fjällbjörkskog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6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Ulltickeporing – ekologi samt krav på livsmiljön</w:t>
      </w:r>
    </w:p>
    <w:p>
      <w:r>
        <w:t xml:space="preserve">Ulltickeporing </w:t>
      </w:r>
      <w:r>
        <w:rPr>
          <w:i/>
        </w:rPr>
        <w:t>Skeletocutis brevispora</w:t>
      </w:r>
      <w:r>
        <w:t xml:space="preserve"> (VU), rödlistad som sårbar, växer på ullticka (NT) i naturskogsartade granskogar. Avverkning av naturskogslika miljöer och av grova granar där ulltickeporing förekommer är ett direkt hot mot artens fortlevnad Alla skogliga åtgärder som innebär att lågor och döda eller skadade träd tas bort missgynnar arten. På sikt är minskad tillgång till lämpligt substrat och krympande areal av naturskog ett hot, framförallt råder brist på grov ved som lågor i sena nedbrytningsstadier. Ytterligare fragmentering av skogslandskapet minskar artens möjligheter till spridning. Gamla granskogar som hyser arten undantas helt från skogsbruk (SLU Artdatabanken, 2026).</w:t>
      </w:r>
    </w:p>
    <w:p>
      <w:r>
        <w:t xml:space="preserve">Ulltickeporingen har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(SLU Artdatabanken, 2026; Miettinen &amp; Niemelä, 2018).</w:t>
      </w:r>
    </w:p>
    <w:p>
      <w:pPr>
        <w:pStyle w:val="Heading2"/>
      </w:pPr>
      <w:r>
        <w:t>Referenser – ulltickeporing</w:t>
      </w:r>
    </w:p>
    <w:p>
      <w:r>
        <w:t xml:space="preserve">Miettinen, O. &amp; Niemelä, T., 2018. </w:t>
      </w:r>
      <w:r>
        <w:rPr>
          <w:i/>
        </w:rPr>
        <w:t>Two new temperate polypore species of Skeletocutis (Polyporales, Basidiomycota)</w:t>
      </w:r>
      <w:r>
        <w:t>. Ann. Bot. Fennici 55: 195–206.</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