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42489-2025 i Hudiksvalls kommun</w:t>
      </w:r>
    </w:p>
    <w:p>
      <w:r>
        <w:t>Denna tillsynsbegäran behandlar höga naturvärden i avverkningsanmälan A 42489-2025 i Hudiksvalls kommun som inkom 2025-09-05 och omfattar 1,5 ha.</w:t>
      </w:r>
    </w:p>
    <w:p>
      <w:pPr>
        <w:pStyle w:val="Caption"/>
      </w:pPr>
      <w:r>
        <w:drawing>
          <wp:inline xmlns:a="http://schemas.openxmlformats.org/drawingml/2006/main" xmlns:pic="http://schemas.openxmlformats.org/drawingml/2006/picture">
            <wp:extent cx="5486400" cy="4709565"/>
            <wp:docPr id="1" name="Picture 1"/>
            <wp:cNvGraphicFramePr>
              <a:graphicFrameLocks noChangeAspect="1"/>
            </wp:cNvGraphicFramePr>
            <a:graphic>
              <a:graphicData uri="http://schemas.openxmlformats.org/drawingml/2006/picture">
                <pic:pic>
                  <pic:nvPicPr>
                    <pic:cNvPr id="0" name="A 42489-2025 karta.png"/>
                    <pic:cNvPicPr/>
                  </pic:nvPicPr>
                  <pic:blipFill>
                    <a:blip r:embed="rId16"/>
                    <a:stretch>
                      <a:fillRect/>
                    </a:stretch>
                  </pic:blipFill>
                  <pic:spPr>
                    <a:xfrm>
                      <a:off x="0" y="0"/>
                      <a:ext cx="5486400" cy="4709565"/>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6820240, E 599763 i SWEREF 99 TM.</w:t>
      </w:r>
    </w:p>
    <w:p>
      <w:r>
        <w:t>I och inom 18 meter från avverkningsanmälan finns fynd av 8 naturvårdsarter, varav 7 är rödlistade, 1 är typisk (T) och 1 är signalart (S): koppartaggsvamp (EN), raggtaggsvamp (EN), ulltickeporing (VU), fjällig taggsvamp s.str. (NT), skarp dropptaggsvamp (NT), sotvaxskivling (NT), ullticka (NT, T) och zontaggsvamp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Koppartaggsvamp (EN) </w:t>
      </w:r>
      <w:r>
        <w:t>är en starkt hotad svamp som bildar mykorrhiza med gran i örtrik äldre granskog på kalkrik mark. Arten är en mycket bra indikator på skyddsvärda kalkgranskogar och påfallande ofta växer den tillsammans med raggtaggsvamp (EN). Koppartaggsvamp ingår i ett åtgärdsprogram för hotade arter (ÅGP) och dess långsiktiga överlevnad säkras genom att växtplatserna undantas från avverkning. Den totala populationen i landet har minskat kraftigt och minskningstakten, som uppgår till 50 (30–70) % inom 50 år, överstiger gränsvärdet för starkt hotad (EN) (SLU Artdatabanken, 2026; Nitare &amp; Skogsstyrelsen, 2019; Nitare, 2006).</w:t>
      </w:r>
    </w:p>
    <w:p>
      <w:r>
        <w:rPr>
          <w:b/>
        </w:rPr>
        <w:t>Raggtaggsvamp (EN)</w:t>
      </w:r>
      <w:r>
        <w:t xml:space="preserve"> är en sällsynt och nationellt starkt hotad art som är knuten till gamla mossiga och örtrika kalkgranskogar med långvarig grankontinuitet. En ”toppart” som alltid indikerar starkt skyddsvärda kalkgranskogar. Raggtaggsvamp år globalt rödlistad som sårbar (VU) och Sverige har en betydande andel av den kända världspopulationen vilket innebär ett internationellt ansvar för arten. Arten försvinner vid slutavverkning vilket utgör det enskilt största hotet. (SLU Artdatabanken, 2024; Nitare &amp; Skogsstyrelsen, 2019; IUCN, 2015).</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Sotvaxskivling (NT)</w:t>
      </w:r>
      <w:r>
        <w:t xml:space="preserve"> bildar mykorrhiza med gran och tall i barrskogar med lång trädkontinuitet. Den totala populationen i landet har minskat och bedöms fortsätta minska till följd av avverkning av äldre barrskogar. Arten har begränsad förmåga att återetablera sig efter slutavverkning eller andra storskaliga skogsbruksåtgärder. Det finns inga indikationer på att den långsiktigt kan etablera eller reproducera sig i skogsbestånd som brukas med trakthyggesmetoder, markberedning, gödsling eller föryngring med förädlat plantmaterial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br w:type="page"/>
      </w:r>
    </w:p>
    <w:p>
      <w:pPr>
        <w:pStyle w:val="Title"/>
      </w:pPr>
      <w:r>
        <w:t>BILAGA 1 –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