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37576-2025 i Hudiksvalls kommun</w:t>
      </w:r>
    </w:p>
    <w:p>
      <w:r>
        <w:t>Detta dokument behandlar höga naturvärden i avverkningsanmälan A 37576-2025 i Hudiksvalls kommun. Denna avverkningsanmälan inkom 2025-08-11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asptagging (VU), knärot (VU, §8), aspskinn (NT), garnlav (NT), kandelabersvamp (NT), lunglav (NT), ullticka (NT), veckticka (NT), rävticka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062"/>
            <wp:docPr id="1" name="Picture 1"/>
            <wp:cNvGraphicFramePr>
              <a:graphicFrameLocks noChangeAspect="1"/>
            </wp:cNvGraphicFramePr>
            <a:graphic>
              <a:graphicData uri="http://schemas.openxmlformats.org/drawingml/2006/picture">
                <pic:pic>
                  <pic:nvPicPr>
                    <pic:cNvPr id="0" name="A 37576-2025 karta.png"/>
                    <pic:cNvPicPr/>
                  </pic:nvPicPr>
                  <pic:blipFill>
                    <a:blip r:embed="rId16"/>
                    <a:stretch>
                      <a:fillRect/>
                    </a:stretch>
                  </pic:blipFill>
                  <pic:spPr>
                    <a:xfrm>
                      <a:off x="0" y="0"/>
                      <a:ext cx="5486400" cy="2747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6853267, E 624232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Aspskinn (NT)</w:t>
      </w:r>
      <w:r>
        <w:t xml:space="preserve"> är knuten till blandskog med kontinuerlig tillgång till asp och tycks främst förekomma i relativt frodiga och skuggiga blandskogar med stor tillgång på lågor i olika nedbrytningsstadier. I områden där aspskinn påträffas bör miljöerna sparas långsiktigt, vilket också gynnar en rad andra organismer (SLU Artdatabanken, 2024).</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3101177"/>
            <wp:docPr id="2" name="Picture 2"/>
            <wp:cNvGraphicFramePr>
              <a:graphicFrameLocks noChangeAspect="1"/>
            </wp:cNvGraphicFramePr>
            <a:graphic>
              <a:graphicData uri="http://schemas.openxmlformats.org/drawingml/2006/picture">
                <pic:pic>
                  <pic:nvPicPr>
                    <pic:cNvPr id="0" name="A 37576-2025 karta knärot.png"/>
                    <pic:cNvPicPr/>
                  </pic:nvPicPr>
                  <pic:blipFill>
                    <a:blip r:embed="rId17"/>
                    <a:stretch>
                      <a:fillRect/>
                    </a:stretch>
                  </pic:blipFill>
                  <pic:spPr>
                    <a:xfrm>
                      <a:off x="0" y="0"/>
                      <a:ext cx="5486400" cy="310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6853267, E 624232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