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42624-2024 i Hudiksvalls kommun</w:t>
      </w:r>
    </w:p>
    <w:p>
      <w:r>
        <w:t>Detta dokument behandlar höga naturvärden i avverkningsanmälan A 42624-2024 i Hudiksvalls kommun. Denna avverkningsanmälan inkom 2024-09-30 20:32:24 och omfattar 1,5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vedflikmossa (NT) och violettgrå tagellav (NT). Av dessa är 2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344641"/>
            <wp:docPr id="1" name="Picture 1"/>
            <wp:cNvGraphicFramePr>
              <a:graphicFrameLocks noChangeAspect="1"/>
            </wp:cNvGraphicFramePr>
            <a:graphic>
              <a:graphicData uri="http://schemas.openxmlformats.org/drawingml/2006/picture">
                <pic:pic>
                  <pic:nvPicPr>
                    <pic:cNvPr id="0" name="A 42624-2024 karta.png"/>
                    <pic:cNvPicPr/>
                  </pic:nvPicPr>
                  <pic:blipFill>
                    <a:blip r:embed="rId16"/>
                    <a:stretch>
                      <a:fillRect/>
                    </a:stretch>
                  </pic:blipFill>
                  <pic:spPr>
                    <a:xfrm>
                      <a:off x="0" y="0"/>
                      <a:ext cx="5486400" cy="634464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6856128, E 610450 i SWEREF 99 TM.</w:t>
      </w:r>
    </w:p>
    <w:p>
      <w:r>
        <w:rPr>
          <w:b/>
        </w:rPr>
        <w:t xml:space="preserve">Vedflikmossa (NT) </w:t>
      </w:r>
      <w:r>
        <w:t>är strikt knuten till död ved i främst Norrlands barrskogar. Fanns tidigare även i södra Sveriges skogar men är borta där. Eftersom arten huvudsakligen är hänvisad till skog där träd fått växa kontinuerligt under flera hundra år (kontinuitetsskog), inte klarar av en kalhyggesfas och har svårt att sprida sig över stora avstånd, bedöms populationen fortsätta att minska på grund av dagens avverkningstakt av kontinuitetsskog. För att hejda populationsminskningen av denna art måste kalavverkning i de barrskogar som tidigare aldrig kalhuggits (kontinuitetsskog) upphöra eller begränsas kraftigt (SLU Artdatabanken, 2024).</w:t>
      </w:r>
    </w:p>
    <w:p>
      <w:r>
        <w:rPr>
          <w:b/>
        </w:rPr>
        <w:t>Violettgrå tagellav (NT)</w:t>
      </w:r>
      <w:r>
        <w:t xml:space="preserve"> växer nästan uteslutande i gamla olikåldriga barrnaturskogar med lång skoglig kontinuitet och är en utmärkt signal på skog med höga naturvärden. Slutavverkning av tidigare aldrig slutavverkad skog (kontinuitetsskog) är det största hotet. Biotopen nyskapas i begränsad omfattning och barrskog äldre än 160 år, där den violettgrå tagellaven huvudsakligen påträffas har minskat med 50% de senaste 50 åren. Lågproduktiv skogsmark där laven förekommer bör undantas från skogsbruk och rika förekomster i äldre granskog bör skyddas. Arten är känslig för uttorkning och det är väsentligt att tillräckligt stora bestånd avsätts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