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37576-2025 i Hudiksvalls kommun</w:t>
      </w:r>
    </w:p>
    <w:p>
      <w:r>
        <w:t>Denna tillsynsbegäran behandlar höga naturvärden i avverkningsanmälan A 37576-2025 i Hudiksvalls kommun som inkom 2025-08-11 och omfattar 8,0 ha.</w:t>
      </w:r>
    </w:p>
    <w:p>
      <w:pPr>
        <w:pStyle w:val="Caption"/>
      </w:pPr>
      <w:r>
        <w:drawing>
          <wp:inline xmlns:a="http://schemas.openxmlformats.org/drawingml/2006/main" xmlns:pic="http://schemas.openxmlformats.org/drawingml/2006/picture">
            <wp:extent cx="5486400" cy="3757524"/>
            <wp:docPr id="1" name="Picture 1"/>
            <wp:cNvGraphicFramePr>
              <a:graphicFrameLocks noChangeAspect="1"/>
            </wp:cNvGraphicFramePr>
            <a:graphic>
              <a:graphicData uri="http://schemas.openxmlformats.org/drawingml/2006/picture">
                <pic:pic>
                  <pic:nvPicPr>
                    <pic:cNvPr id="0" name="A 37576-2025 karta.png"/>
                    <pic:cNvPicPr/>
                  </pic:nvPicPr>
                  <pic:blipFill>
                    <a:blip r:embed="rId16"/>
                    <a:stretch>
                      <a:fillRect/>
                    </a:stretch>
                  </pic:blipFill>
                  <pic:spPr>
                    <a:xfrm>
                      <a:off x="0" y="0"/>
                      <a:ext cx="5486400" cy="3757524"/>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6853267, E 624232 i SWEREF 99 TM.</w:t>
      </w:r>
    </w:p>
    <w:p>
      <w:r>
        <w:t>I och inom 1 meter från avverkningsanmälan finns fynd av 13 naturvårdsarter, varav 11 är rödlistade, 1 är fridlyst, 9 är typiska (T) och 2 är signalarter (S): aspgelélav (VU, T), asptagging (VU), garnlav (VU, T), knärot (VU, T, §8), aspskinn (NT), kandelabersvamp (NT, T), lunglav (NT, T), skarp dropptaggsvamp (NT), ullticka (NT, T), veckticka (NT, T), vågticka (NT), rävticka (S, T) och skinnlav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Asptagging (VU)</w:t>
      </w:r>
      <w:r>
        <w:t xml:space="preserve"> är en sällsynt skinnsvamp som växer på murkna lågor av grov asp, i fuktig löv- och blandskog, vid källor och i strandskog. Arten måste eftersökas på de kända fyndplatserna och dessa skyddas om arten återfinns. För att gynna arten måste bestånd av asp lämnas till fri utveckling på lämpliga platser och gamla lövbrännor med stort inslag av äldre aspar bör inte avverkas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1.94 ha med buffertzonerna och får av detta skäl inte avverkas.</w:t>
      </w:r>
    </w:p>
    <w:p>
      <w:pPr>
        <w:pStyle w:val="Caption"/>
      </w:pPr>
      <w:r>
        <w:drawing>
          <wp:inline xmlns:a="http://schemas.openxmlformats.org/drawingml/2006/main" xmlns:pic="http://schemas.openxmlformats.org/drawingml/2006/picture">
            <wp:extent cx="5486400" cy="3518083"/>
            <wp:docPr id="2" name="Picture 2"/>
            <wp:cNvGraphicFramePr>
              <a:graphicFrameLocks noChangeAspect="1"/>
            </wp:cNvGraphicFramePr>
            <a:graphic>
              <a:graphicData uri="http://schemas.openxmlformats.org/drawingml/2006/picture">
                <pic:pic>
                  <pic:nvPicPr>
                    <pic:cNvPr id="0" name="A 37576-2025 karta knärot.png"/>
                    <pic:cNvPicPr/>
                  </pic:nvPicPr>
                  <pic:blipFill>
                    <a:blip r:embed="rId17"/>
                    <a:stretch>
                      <a:fillRect/>
                    </a:stretch>
                  </pic:blipFill>
                  <pic:spPr>
                    <a:xfrm>
                      <a:off x="0" y="0"/>
                      <a:ext cx="5486400" cy="351808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6853267, E 624232 i SWEREF 99 TM.</w:t>
      </w:r>
    </w:p>
    <w:p>
      <w:r>
        <w:rPr>
          <w:b/>
        </w:rPr>
        <w:t>Aspskinn (NT)</w:t>
      </w:r>
      <w:r>
        <w:t xml:space="preserve"> är knuten till blandskog med kontinuerlig tillgång till asp och tycks främst förekomma i relativt frodiga och skuggiga blandskogar med stor tillgång på lågor i olika nedbrytningsstadier. I områden där aspskinn påträffas bör miljöerna sparas långsiktigt, vilket också gynnar en rad andra organismer (SLU Artdatabanken, 2024).</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Veckticka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r>
        <w:rPr>
          <w:b/>
        </w:rPr>
        <w:t>Rävticka</w:t>
      </w:r>
      <w:r>
        <w:t xml:space="preserve"> är typisk art för </w:t>
      </w:r>
      <w:r>
        <w:rPr>
          <w:i/>
        </w:rPr>
        <w:t xml:space="preserve">9010 Taiga </w:t>
      </w:r>
      <w:r>
        <w:t>(SLU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aspgelélav (VU, T), garnlav (VU, T), knärot (VU, T, §8), kandelabersvamp (NT, T), lunglav (NT, T), ullticka (NT, T), veckticka (NT, T), rävticka (S, T) och skinnlav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