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6 meter från avverkningsanmälan finns fynd av 22 naturvårdsarter, varav 13 är rödlistade, 3 är fridlysta, 16 är typiska (T) och 5 är signalarter (S): aspgelélav (VU, T), asptagging (VU), garnlav (VU, T), knärot (VU, T, §8), aspskinn (NT), dvärgbägarlav (NT, T), kandelabersvamp (NT, T), lunglav (NT, T), skarp dropptaggsvamp (NT), talltita (NT, §4), ullticka (NT, T), veckticka (NT, T), vågticka (NT), björksplintborre (S), grönpyrola (S, T), mindre märgborre (S, T), rävticka (S, T), skinnlav (S, T), kransmossa (T), linnea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dvärgbägarlav (NT, T), kandelabersvamp (NT, T), lunglav (NT, T), ullticka (NT, T), veckticka (NT, T), grönpyrola (S, T), mindre märgborre (S, T), rävticka (S, T), skinnlav (S, T), kransmossa (T), linnea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