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60212-2022 i Hudiksvalls kommun</w:t>
      </w:r>
    </w:p>
    <w:p>
      <w:r>
        <w:t>Detta dokument behandlar höga naturvärden i avverkningsanmälan A 60212-2022 i Hudiksvalls kommun. Denna avverkningsanmälan inkom 2022-12-15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hussvala (VU, §4), stare (VU, §4), björktrast (NT, §4), grönsångare (NT, §4), gulsparv (NT, §4), kråka (NT, §4), mindre hackspett (NT, §4), rödvingetrast (NT, §4) och svartvit flugsnappare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60212-2022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6846562, E 604191 i SWEREF 99 TM.</w:t>
      </w:r>
    </w:p>
    <w:p>
      <w:pPr>
        <w:pStyle w:val="Heading1"/>
      </w:pPr>
      <w:r>
        <w:t>Fridlysta arter</w:t>
      </w:r>
    </w:p>
    <w:p>
      <w:r>
        <w:t>Följande fridlysta arter har sina livsmiljöer och växtplatser i den avverkningsanmälda skogen: grönfink (EN, §4), hussvala (VU, §4), stare (VU, §4), björktrast (NT, §4), grönsångare (NT, §4), gulsparv (NT, §4), kråka (NT, §4), mindre hackspett (NT, §4),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