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2482-2026 i Hudiksvalls kommun</w:t>
      </w:r>
    </w:p>
    <w:p>
      <w:r>
        <w:t>Detta klagomål behandlar höga naturvärden i avverkningsanmälan A 2482-2026 i Hudiksvalls kommun som inkom 2026-01-15 och omfattar 6,0 ha.</w:t>
      </w:r>
    </w:p>
    <w:p>
      <w:pPr>
        <w:pStyle w:val="Caption"/>
      </w:pPr>
      <w:r>
        <w:drawing>
          <wp:inline xmlns:a="http://schemas.openxmlformats.org/drawingml/2006/main" xmlns:pic="http://schemas.openxmlformats.org/drawingml/2006/picture">
            <wp:extent cx="5486400" cy="4774349"/>
            <wp:docPr id="1" name="Picture 1"/>
            <wp:cNvGraphicFramePr>
              <a:graphicFrameLocks noChangeAspect="1"/>
            </wp:cNvGraphicFramePr>
            <a:graphic>
              <a:graphicData uri="http://schemas.openxmlformats.org/drawingml/2006/picture">
                <pic:pic>
                  <pic:nvPicPr>
                    <pic:cNvPr id="0" name="A 2482-2026 karta.png"/>
                    <pic:cNvPicPr/>
                  </pic:nvPicPr>
                  <pic:blipFill>
                    <a:blip r:embed="rId16"/>
                    <a:stretch>
                      <a:fillRect/>
                    </a:stretch>
                  </pic:blipFill>
                  <pic:spPr>
                    <a:xfrm>
                      <a:off x="0" y="0"/>
                      <a:ext cx="5486400" cy="4774349"/>
                    </a:xfrm>
                    <a:prstGeom prst="rect"/>
                  </pic:spPr>
                </pic:pic>
              </a:graphicData>
            </a:graphic>
          </wp:inline>
        </w:drawing>
      </w:r>
    </w:p>
    <w:p>
      <w:pPr>
        <w:pStyle w:val="Caption"/>
        <w:spacing w:after="240"/>
      </w:pPr>
      <w:r>
        <w:t>Figur 1. Fyndplatser för naturvårdsarter i och inom 8 meter från avverkningsanmälan. Markörer utan svart kant är placerade på fyndplatsen. Markörer med svart kant är placerade vid sidan av fyndplatsen och har ett svart streck som visar fyndplatsens exakta position. Kartans mittpunktskoordinat är N 6846710, E 596445 i SWEREF 99 TM.</w:t>
      </w:r>
    </w:p>
    <w:p>
      <w:r>
        <w:t>I och inom 8 meter från avverkningsanmälan finns fynd av 1 naturvårdsarter, varav 1 är rödlistad och 1 är typisk (T): violettgrå tagellav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Violettgrå tagellav (NT)</w:t>
      </w:r>
      <w:r>
        <w:t xml:space="preserve"> växer nästan uteslutande i gamla olikåldriga barrnaturskogar med lång skoglig kontinuitet och är en utmärkt signal på skog med höga naturvärden. Slutavverkning av tidigare aldrig slutavverkad skog (kontinuitetsskog) är det största hotet. Biotopen nyskapas i begränsad omfattning och barrskog äldre än 160 år, där den violettgrå tagellaven huvudsakligen påträffas har minskat med 50% de senaste 50 åren. Lågproduktiv skogsmark där laven förekommer bör undantas från skogsbruk och rika förekomster i äldre granskog bör skyddas. Arten är känslig för uttorkning och det är väsentligt att tillräckligt stora bestånd avsätts. Violettgrå tagellav är typisk art för </w:t>
      </w:r>
      <w:r>
        <w:rPr>
          <w:i/>
        </w:rPr>
        <w:t>9010 Taiga</w:t>
      </w:r>
      <w:r>
        <w:t xml:space="preserve"> (SLU Artdatabanken, 2024;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2026-10-24</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