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4018-2023 i Hudiksvalls kommun</w:t>
      </w:r>
    </w:p>
    <w:p>
      <w:r>
        <w:t>Denna tillsynsbegäran behandlar höga naturvärden i samrådsanmälan S 4018-2023 i Hudiksvalls kommun som inkom 2023-11-07 och omfattar 74,6 ha.</w:t>
      </w:r>
    </w:p>
    <w:p>
      <w:pPr>
        <w:pStyle w:val="Caption"/>
      </w:pPr>
      <w:r>
        <w:drawing>
          <wp:inline xmlns:a="http://schemas.openxmlformats.org/drawingml/2006/main" xmlns:pic="http://schemas.openxmlformats.org/drawingml/2006/picture">
            <wp:extent cx="3930087" cy="5724000"/>
            <wp:docPr id="1" name="Picture 1"/>
            <wp:cNvGraphicFramePr>
              <a:graphicFrameLocks noChangeAspect="1"/>
            </wp:cNvGraphicFramePr>
            <a:graphic>
              <a:graphicData uri="http://schemas.openxmlformats.org/drawingml/2006/picture">
                <pic:pic>
                  <pic:nvPicPr>
                    <pic:cNvPr id="0" name="S 4018-2023 karta.png"/>
                    <pic:cNvPicPr/>
                  </pic:nvPicPr>
                  <pic:blipFill>
                    <a:blip r:embed="rId16"/>
                    <a:stretch>
                      <a:fillRect/>
                    </a:stretch>
                  </pic:blipFill>
                  <pic:spPr>
                    <a:xfrm>
                      <a:off x="0" y="0"/>
                      <a:ext cx="3930087"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6869124, E 584489 i SWEREF 99 TM.</w:t>
      </w:r>
    </w:p>
    <w:p>
      <w:r>
        <w:t>I samrådsanmälan finns fynd av 2 naturvårdsarter, varav 2 är fridlysta, 1 är typisk (T) och 1 är signalart (S): korallrot (S, T, §8) och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