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kvalitet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och fridlysta arter i avverkningsanmälan A 29705-2021 i Hudiksvalls kommun</w:t>
      </w:r>
    </w:p>
    <w:p>
      <w:r>
        <w:t>Detta dokument behandlar höga naturvärden i avverkningsanmälan A 29705-2021 i Hudiksvalls kommun. Denna avverkningsanmälan inkom 2021-06-15 00:00:00 och omfattar 45,0 ha.</w:t>
      </w:r>
    </w:p>
    <w:p>
      <w:r>
        <w:t>Nedan presenteras fynd av naturvårdsarter och fridlysta arter som gjorts i det avverkningsanmälda området, samt relevanta utdrag ur standarderna för FSC, Chain of Custody, Controlled Wood och PEFC. I BILAGA 1 finns artfakta om fridlysta arter.</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w:t>
      </w:r>
    </w:p>
    <w:p>
      <w:r>
        <w:t>I avverkningsanmälan har följande 7 naturvårdsarter hittats: storgröe (NT), korallrot (S, §8), spindelblomster (S, §8), tvåblad (S, §8), ögonpyrola (S), fläcknycklar (§8) och revlummer (§9). Av dessa är 1 rödlistade. För rödlistade arter har rödlistekategorin angivits inom parentes. Arter som är signalarter enligt Skogsstyrelsen har markerats med (S). För fridlysta arter anges även paragrafen i Artskyddsförordningen som arten är fridlyst enligt.</w:t>
      </w:r>
    </w:p>
    <w:p>
      <w:r>
        <w:t>De påträffade naturvårdsarterna är ett tydligt kvitto på att detta rör sig om en skog med höga naturvärden. I Figur 1 visas en karta över det avverkningsanmälda området, där samtliga fyndplatser för naturvårdsarter som finns registrerade på Artportalen har markerats.</w:t>
      </w:r>
    </w:p>
    <w:p>
      <w:pPr>
        <w:pStyle w:val="Caption"/>
      </w:pPr>
      <w:r>
        <w:drawing>
          <wp:inline xmlns:a="http://schemas.openxmlformats.org/drawingml/2006/main" xmlns:pic="http://schemas.openxmlformats.org/drawingml/2006/picture">
            <wp:extent cx="5486400" cy="4586567"/>
            <wp:docPr id="1" name="Picture 1"/>
            <wp:cNvGraphicFramePr>
              <a:graphicFrameLocks noChangeAspect="1"/>
            </wp:cNvGraphicFramePr>
            <a:graphic>
              <a:graphicData uri="http://schemas.openxmlformats.org/drawingml/2006/picture">
                <pic:pic>
                  <pic:nvPicPr>
                    <pic:cNvPr id="0" name="A 29705-2021 karta.png"/>
                    <pic:cNvPicPr/>
                  </pic:nvPicPr>
                  <pic:blipFill>
                    <a:blip r:embed="rId16"/>
                    <a:stretch>
                      <a:fillRect/>
                    </a:stretch>
                  </pic:blipFill>
                  <pic:spPr>
                    <a:xfrm>
                      <a:off x="0" y="0"/>
                      <a:ext cx="5486400" cy="4586567"/>
                    </a:xfrm>
                    <a:prstGeom prst="rect"/>
                  </pic:spPr>
                </pic:pic>
              </a:graphicData>
            </a:graphic>
          </wp:inline>
        </w:drawing>
      </w:r>
    </w:p>
    <w:p>
      <w:pPr>
        <w:pStyle w:val="Caption"/>
      </w:pPr>
      <w:r>
        <w:t>Figur 1. Fyndplatser för naturvårdsarter i det avverkningsanmälda området (röd linje). Markörer utan svart kant är placerade på fyndplatsen. Markörer med svart kant är placerade vid sidan av fyndplatsen och har ett svart streck som visar fyndplatsens exakta position. Kartans mittpunktskoordinat är N 6884240, E 564817 i SWEREF 99 TM.</w:t>
      </w:r>
    </w:p>
    <w:p>
      <w:r>
        <w:rPr>
          <w:b/>
        </w:rPr>
        <w:t xml:space="preserve">Storgröe (NT) </w:t>
      </w:r>
      <w:r>
        <w:t xml:space="preserve">växer helst i eller vid källor, i bäckraviner, i frodiga skogssluttningar eller sumpskog. Rörligt, gärna något kalkpåverkat, ytligt grundvatten är en förutsättning. Det är främst förändringar av hydrologiska förhållanden genom dikning, körning med skogsfordon eller avverkning som hotar arten. Växtplatserna bör undantas från normal skogsproduktion och kalavverkning är direkt olämpligt. Storgröe är typisk art för </w:t>
      </w:r>
      <w:r>
        <w:rPr>
          <w:i/>
        </w:rPr>
        <w:t xml:space="preserve">9020 Nordlig ädellövskog </w:t>
      </w:r>
      <w:r>
        <w:t>och</w:t>
      </w:r>
      <w:r>
        <w:rPr>
          <w:i/>
        </w:rPr>
        <w:t xml:space="preserve"> 9080 Lövsumpskog</w:t>
      </w:r>
      <w:r>
        <w:t xml:space="preserve"> (SLU Artdatabanken, 2024).</w:t>
      </w:r>
    </w:p>
    <w:p>
      <w:r>
        <w:rPr>
          <w:b/>
        </w:rPr>
        <w:t xml:space="preserve">Ögonpyrola </w:t>
      </w:r>
      <w:r>
        <w:t xml:space="preserve">är normalt en bra signalart som visar på områden med höga naturvärden och stabila förhållanden, särskilt inom näringsfattiga trakter. Växten är mycket känslig för markskador och försvinner snabbt efter slutavverkning. Den hotas också av skogsgödsling och markavvattning. Ögonpyrola är typisk art för </w:t>
      </w:r>
      <w:r>
        <w:rPr>
          <w:i/>
        </w:rPr>
        <w:t>9010 Taiga</w:t>
      </w:r>
      <w:r>
        <w:t xml:space="preserve"> och</w:t>
      </w:r>
      <w:r>
        <w:rPr>
          <w:i/>
        </w:rPr>
        <w:t xml:space="preserve"> 9070 Trädklädd betesmark</w:t>
      </w:r>
      <w:r>
        <w:t xml:space="preserve"> (Nitare &amp; Skogsstyrelsen, 2019; SLU Artdatabanken, 2024).</w:t>
      </w:r>
    </w:p>
    <w:p>
      <w:pPr>
        <w:pStyle w:val="Heading1"/>
      </w:pPr>
      <w:r>
        <w:t>Fridlysta arter</w:t>
      </w:r>
    </w:p>
    <w:p>
      <w:r>
        <w:t>Följande fridlysta arter har sina livsmiljöer och växtplatser i den avverkningsanmälda skogen: korallrot (S, §8), spindelblomster (S, §8), tvåblad (S, §8), fläcknycklar (§8) och revlummer (§9).</w:t>
      </w:r>
    </w:p>
    <w:p>
      <w:r>
        <w:rPr>
          <w:b/>
        </w:rPr>
        <w:t>Knärot (VU, §8)</w:t>
      </w:r>
      <w:r>
        <w:t xml:space="preserve"> är typisk art för </w:t>
      </w:r>
      <w:r>
        <w:rPr>
          <w:i/>
        </w:rPr>
        <w:t xml:space="preserve">9010 Taiga </w:t>
      </w:r>
      <w:r>
        <w:t>och</w:t>
      </w:r>
      <w:r>
        <w:rPr>
          <w:i/>
        </w:rPr>
        <w:t xml:space="preserve"> 9050 Näringsrik granskog</w:t>
      </w:r>
      <w:r>
        <w:t xml:space="preserve">, rödlistad som sårbar och fridlyst enligt 8§ artskyddsförordningen. En nyligen genomförd analys av 79 floraväktarlokaler indikerar att det behövs någonstans mellan 100 och 150 meters skyddszon för att en knärotspopulation inte ska dö ut på lång sikt (Sebestyén &amp; Sundberg, 2025). Detta ligger väl i linje med tidigare genomförda studier som visar att det krävs väl tilltagna buffertzoner för att knäroten inte ska ta skada av skogsbruksåtgärder i intilliggande skog (Johnson, 2014; Koelmeijer m.fl., 2022; Skogsstyrelsen, 2022). Arten är även känslig för gallring vilket framgår av Skogsstyrelsens egen vägledning för hänsyn till knärot (Skogsstyrelsen, 2022). För rika förekomster av knärot är reservatsbildning eller biotopskydd lämpliga åtgärder för att skydda den. På knärot kan den sällsynta rostsvampen </w:t>
      </w:r>
      <w:r>
        <w:rPr>
          <w:i/>
        </w:rPr>
        <w:t>Pucciniastrum goodyerae</w:t>
      </w:r>
      <w:r>
        <w:t xml:space="preserve"> påträffas. </w:t>
      </w:r>
      <w:r>
        <w:rPr>
          <w:i/>
        </w:rPr>
        <w:t>Pucciniastrum goodyerae</w:t>
      </w:r>
      <w:r>
        <w:t xml:space="preserve"> är klassad som NE (ej bedömd) i rödlistan (SLU Artdatabanken, 2024).</w:t>
      </w:r>
    </w:p>
    <w:p>
      <w:r>
        <w:t>I det avverkningsanmälda området finns 0 fyndplatser för knärot registrerade på Artportalen. Figur 2 visar gränserna för buffertzoner på 50 m, som behöver lämnas kring fyndplatserna för att knärotslokalerna inte ska försvinna vid en avverkning. Av det avverkningsanmälda området överlappar 0.04 ha med buffertzonerna och får av detta skäl inte avverkas.</w:t>
      </w:r>
    </w:p>
    <w:p>
      <w:pPr>
        <w:pStyle w:val="Caption"/>
      </w:pPr>
      <w:r>
        <w:drawing>
          <wp:inline xmlns:a="http://schemas.openxmlformats.org/drawingml/2006/main" xmlns:pic="http://schemas.openxmlformats.org/drawingml/2006/picture">
            <wp:extent cx="5486400" cy="5534814"/>
            <wp:docPr id="2" name="Picture 2"/>
            <wp:cNvGraphicFramePr>
              <a:graphicFrameLocks noChangeAspect="1"/>
            </wp:cNvGraphicFramePr>
            <a:graphic>
              <a:graphicData uri="http://schemas.openxmlformats.org/drawingml/2006/picture">
                <pic:pic>
                  <pic:nvPicPr>
                    <pic:cNvPr id="0" name="A 29705-2021 karta knärot.png"/>
                    <pic:cNvPicPr/>
                  </pic:nvPicPr>
                  <pic:blipFill>
                    <a:blip r:embed="rId17"/>
                    <a:stretch>
                      <a:fillRect/>
                    </a:stretch>
                  </pic:blipFill>
                  <pic:spPr>
                    <a:xfrm>
                      <a:off x="0" y="0"/>
                      <a:ext cx="5486400" cy="5534814"/>
                    </a:xfrm>
                    <a:prstGeom prst="rect"/>
                  </pic:spPr>
                </pic:pic>
              </a:graphicData>
            </a:graphic>
          </wp:inline>
        </w:drawing>
      </w:r>
    </w:p>
    <w:p>
      <w:pPr>
        <w:pStyle w:val="Caption"/>
      </w:pPr>
      <w:r>
        <w:t>Figur 2. Fyndplatser och buffertzoner för knärot i det avverkningsanmälda området. Endast fyndplatser vars buffertzoner överlappar med det avverkningsanmälda området har tagits med i visualiseringen. Kartans mittpunktskoordinat är N 6884240, E 564817 i SWEREF 99 TM.</w:t>
      </w:r>
    </w:p>
    <w:p>
      <w:pPr>
        <w:pStyle w:val="Caption"/>
      </w:pPr>
    </w:p>
    <w:p>
      <w:r>
        <w:rPr>
          <w:b/>
        </w:rPr>
        <w:t>Korallrot (§8)</w:t>
      </w:r>
      <w:r>
        <w:t xml:space="preserve"> växer i sumpskogar och annan fuktig eller växelfuktig skogsmark, exempelvis i alkärr och kärrkanter, fuktiga bäckdalar, raviner, myrlaggar, sumpiga strandskogar samt i fuktiga lundar. Den visar på mer eller mindre stabila förhållanden och intakt hydrologi och är känslig för avverkning, körskador, skogsgödsling och dikning. Korallrot är typisk art för </w:t>
      </w:r>
      <w:r>
        <w:rPr>
          <w:i/>
        </w:rPr>
        <w:t>9080 Lövsumpskog</w:t>
      </w:r>
      <w:r>
        <w:t xml:space="preserve"> och fridlyst enligt 8 § artskyddsförordningen (SLU Artdatabanken, 2024; Nitare &amp; Skogsstyrelsen, 2019).</w:t>
      </w:r>
    </w:p>
    <w:p>
      <w:r>
        <w:rPr>
          <w:b/>
        </w:rPr>
        <w:t>Spindelblomster (§8)</w:t>
      </w:r>
      <w:r>
        <w:t xml:space="preserve"> växer i äldre mossrik granskog eller barrblandskog, men även i fjällbjörkskog. Arten indikerar långvarig trädkontinuitet och hög luftfuktighet och är mycket känslig för uttorkning och markskador. Spindelblomster har i många trakter minskat starkt under senare tid på grund av slutavverkningar och skogsmarksdikning. Spindelblomster är typisk art för </w:t>
      </w:r>
      <w:r>
        <w:rPr>
          <w:i/>
        </w:rPr>
        <w:t xml:space="preserve">9010 Taiga, 9050 Näringsrik granskog </w:t>
      </w:r>
      <w:r>
        <w:t>och</w:t>
      </w:r>
      <w:r>
        <w:rPr>
          <w:i/>
        </w:rPr>
        <w:t xml:space="preserve"> 9040 Fjällbjörkskog</w:t>
      </w:r>
      <w:r>
        <w:t xml:space="preserve"> (Nitare &amp; Skogsstyrelsen, 2019; SLU Artdatabanken, 2025).</w:t>
      </w:r>
    </w:p>
    <w:p>
      <w:r>
        <w:t>I BILAGA 1 finns mer detaljerad information om ekologi samt krav på livsmiljö hos fridlysta arter.</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7 naturvårdsarter varav 1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p>
      <w:r>
        <w:br w:type="page"/>
      </w:r>
    </w:p>
    <w:p>
      <w:pPr>
        <w:pStyle w:val="Title"/>
      </w:pPr>
      <w:r>
        <w:t>BILAGA 1 – Fridlysta arter</w:t>
      </w:r>
    </w:p>
    <w:p>
      <w:pPr>
        <w:pStyle w:val="Heading1"/>
      </w:pPr>
      <w:r>
        <w:t>Knärot – ekologi samt krav på livsmiljön</w:t>
      </w:r>
    </w:p>
    <w:p>
      <w:r>
        <w:t xml:space="preserve">Knärot är typisk art för </w:t>
      </w:r>
      <w:r>
        <w:rPr>
          <w:i/>
        </w:rPr>
        <w:t xml:space="preserve">9010 Taiga </w:t>
      </w:r>
      <w:r>
        <w:t>och</w:t>
      </w:r>
      <w:r>
        <w:rPr>
          <w:i/>
        </w:rPr>
        <w:t xml:space="preserve"> 9050 Näringsrik granskog</w:t>
      </w:r>
      <w:r>
        <w:t>, fridlyst enligt 8 och 15 §§ artskyddsförordningen och klassad som sårbar (VU) enligt rödlistan 2020. Knärot är beroende av hög och jämn luftfuktighet i gamla, ostörda skogsmiljöer och är känslig för snabba förändringar av ljus-/vindförhållanden eller uttorkning. På grund av ett alltför intensivt skogsbruk har den minskat med 40 (25–50) % under de senaste 60 åren och i framtiden bedöms minskningstakten uppgå till 30 (20–40) %. Till följd av att arten har en dokumenterat högre minskningstakt i förhållande till sin generationstid än vad som tidigare varit känt (data från Riksskogstaxeringen) höjdes den till hotkategori sårbar (VU) i rödlistan 2020 (SLU Artdatabanken, 2024).</w:t>
      </w:r>
    </w:p>
    <w:p>
      <w:r>
        <w:t>En analys av 79 floraväktarlokaler åren 1990–2015 vilka återbesökts under 2020–2024 visade på en tydlig negativ påverkan på knärotsförekomster från större hyggen i närområdet (inom 150–200 m) vilket indikerar att kanteffekter har en stor påverkan på populationerna. Resultaten bekräftar knärotens känslighet för kanteffekter och visar vikten av att skydda större skogsbestånd för att bevara arten. Om det blir höga andelar (&gt;30%) hyggen inom 200 meter från en knärotsförekomst så ökar risken för att en knärotspopulation dör ut och det verkar det behövas någonstans mellan 100 och 150 meters skyddszon för att bevara arten på lång sikt (Sebestyén &amp; Sundberg, 2025).</w:t>
      </w:r>
    </w:p>
    <w:p>
      <w:r>
        <w:t xml:space="preserve">Samuel Johnsons doktorsavhandling </w:t>
      </w:r>
      <w:r>
        <w:rPr>
          <w:i/>
        </w:rPr>
        <w:t>“Retention Forestry as a Conservation Measure for Boreal Forest Ground Vegetation”</w:t>
      </w:r>
      <w:r>
        <w:t xml:space="preserve"> (SLU, Uppsala 2014) visar att det krävs väl tilltagna skyddszoner för att knärotens växtplatser inte ska ta skada av skogsbruksåtgärder i intilliggande områden: </w:t>
      </w:r>
      <w:r>
        <w:rPr>
          <w:i/>
        </w:rPr>
        <w:t xml:space="preserve">“Study III shows that retention patches smaller than 0.5 ha do not lifeboat the sensitive forest herb G. repens, a species that depend on stable microclimatic conditions typical for intact forest stands.” </w:t>
      </w:r>
      <w:r>
        <w:t xml:space="preserve">Vidare </w:t>
      </w:r>
      <w:r>
        <w:rPr>
          <w:i/>
        </w:rPr>
        <w:t>“More sensitive forest species are not lifeboated in retention patches ranging from 0.05 to 0.5 ha (Papers II &amp; III).”</w:t>
      </w:r>
    </w:p>
    <w:p>
      <w:r>
        <w:t xml:space="preserve">Johnsons (2014) rekommendation på minst 50 meters breda skyddszoner runt knärotens växtplatser motsvarar en areal på 0,78 hektar, vilket ligger i linje med andra studier som gjorts på känsliga skogsarter: </w:t>
      </w:r>
      <w:r>
        <w:rPr>
          <w:i/>
        </w:rPr>
        <w:t>“In study III I also show that translocated specimens of G. repens survives well in mature forests at least 50 m from the nearest edge to an open area. Moreover, measures of temperature and humidity show that such distances from an open area is far enough to offer a microclimate that is more stable compared to what present in retention patches of around 0.1 ha. This means that the very centre of a circular patch with radius 50 m (equals a size of 0.78 ha) should offer conditions similar to interior forest and would perhaps be a suitable habitat for G. repens and similar species. Previous studies from both North America and Sweden have also concluded that patches between 0.5 and one ha are sufficient for preserving interior forest vegetation as well as sensitive lichens and bryophytes (de Graaf &amp; Roberts 2009; Halpern et al. 2012; Rudolphi et al. 2014).”</w:t>
      </w:r>
    </w:p>
    <w:p>
      <w:r>
        <w:t>En nyligen publicerad vetenskaplig uppsats av Koelmeijer m.fl. (2022) inkluderar orkidén knärots skyddsbehov. I uppsatsen berörs problemet med uttorkning för växter, bl.a. för knärot, ett problem som blivit accentuerat på grund av den pågående klimatförändringen och torra somrar, t.ex. den exceptionellt torra sommaren 2018. I uppsatsen undersöks områden med tre olika avstånd från kalhyggeskant med avseende på skydd bl.a. för knärot. Det första området har avstånd upp till 20 m från hyggeskant (Strong edge effect), det andra 20–40 m från hyggeskant (Weak edge effect) och det tredje avser större avstånd från hyggeskant, där kanteffekten anses vara försumbar (Interior). Ett resultat var att man fann stor eller mycket stor uttorkningseffekt på känsliga och rödlistade skogsarter vid de kortare avstånden till hyggeskant, medan effekt av uttorkning inte konstaterades på större avstånd (Interior). För orkidén knärot fann man en rik förekomst (upp till 0,06 dm2/m2) på stort avstånd från hyggeskant (Interior), medan förekomsten var liten eller närmast försumbar i de områden som klassificerades som Weak edge effect respektive Strong edge effect. Arbetet påpekar att de allt oftare förekommande torra somrarna ger ytterligare skäl att utöka skyddsavståndet från hyggen till den fuktkrävande arten knärot (Koelmeijer m.fl., 2022).</w:t>
      </w:r>
    </w:p>
    <w:p>
      <w:r>
        <w:t>Även Skogsstyrelsens egen vägledning för hänsyn till knärot ligger i linje med ovanstående forskningsstudier. Av vägledningen framgår det att för med hög sannolikhet kunna bevara befintliga förekomster krävs relativt stora avsättningar av uppvuxen skog med slutet och relativt tätt kronskikt. Som riktlinje kan krävas ett avstånd på 50 meter in från brynet för att vidmakthålla ett fungerande mikroklimat. Detta innebär att fristående hänsynsytor för många arter (kärlväxter, lavar och mossor) kan behöva ha en area överstigande 0,8 hektar (cirkelyta med radien 50 meter = 0,78 hektar) för att bibehålla lokalklimatet. Även ganska små förändringar i form av förändrade ljus- och fuktighetsförhållanden, till exempel till följd av gallring, kan leda till att arten försvinner till följd av konkurrens med mera ljuskrävande och snabbväxande arter (Skogsstyrelsen, 2022).</w:t>
      </w:r>
    </w:p>
    <w:p>
      <w:r>
        <w:t>Vid tillämpning av försiktighetsprincipen enligt 2 kap. 3 § miljöbalken bör sålunda 100–150 meters skyddszon lämnas runt knärotens växtplatser.</w:t>
      </w:r>
    </w:p>
    <w:p>
      <w:pPr>
        <w:pStyle w:val="Heading2"/>
      </w:pPr>
      <w:r>
        <w:t>Referenser – knärot</w:t>
      </w:r>
    </w:p>
    <w:p>
      <w:r>
        <w:t xml:space="preserve">de Graaf M &amp; Roberts M.R., 2009. </w:t>
      </w:r>
      <w:r>
        <w:rPr>
          <w:i/>
        </w:rPr>
        <w:t xml:space="preserve">Short-term response of the herbaceous layer within leave patches after harvest. </w:t>
      </w:r>
      <w:r>
        <w:t>Forest Ecology and Management 257, 1014–1025</w:t>
      </w:r>
    </w:p>
    <w:p>
      <w:r>
        <w:t xml:space="preserve">Halpern, C. B., Halaj, J., Evans, S. A., &amp; Dovciak, M., 2012. </w:t>
      </w:r>
      <w:r>
        <w:rPr>
          <w:i/>
        </w:rPr>
        <w:t xml:space="preserve">Level and pattern of overstory retention interact to shape long-term responses of understories to timber harvest. </w:t>
      </w:r>
      <w:r>
        <w:t>Ecological Applications, 22, 2049–2064</w:t>
      </w:r>
    </w:p>
    <w:p>
      <w:r>
        <w:t xml:space="preserve">Johnson, S., 2014. </w:t>
      </w:r>
      <w:r>
        <w:rPr>
          <w:i/>
        </w:rPr>
        <w:t>Retention Forestry as a Conservation Measure for Boreal Forest Ground Vegetation</w:t>
      </w:r>
      <w:r>
        <w:t>. Doktorsavhandling, SLU, Uppsala</w:t>
      </w:r>
    </w:p>
    <w:p>
      <w:r>
        <w:t xml:space="preserve">Koelmeijer, I. A., Ehrlén, J., Jönsson, M., De Frenne, P., Berg, P., Andersson, J., Weibull, H. &amp; Hylander, N. 2022. </w:t>
      </w:r>
      <w:r>
        <w:rPr>
          <w:i/>
        </w:rPr>
        <w:t xml:space="preserve">Interactive effects of drought and edge exposure on old-growth forest understory species. </w:t>
      </w:r>
      <w:r>
        <w:t>Landscape Ecology, 37, sid 1839–1853</w:t>
      </w:r>
    </w:p>
    <w:p>
      <w:r>
        <w:t xml:space="preserve">Rudolphi, J., Jönsson, M. T., &amp; Gustafsson, L., 2014. </w:t>
      </w:r>
      <w:r>
        <w:rPr>
          <w:i/>
        </w:rPr>
        <w:t xml:space="preserve">Biological legacies buffer local species extinction after logging. </w:t>
      </w:r>
      <w:r>
        <w:t>Journal of Applied Ecology. 51, 53–62.</w:t>
      </w:r>
    </w:p>
    <w:p>
      <w:r>
        <w:t xml:space="preserve">Sebestyén, L. och Sundberg, S. 2025.  </w:t>
      </w:r>
      <w:r>
        <w:rPr>
          <w:i/>
        </w:rPr>
        <w:t>Påverkan på knärotslokaler från hyggen i närheten.</w:t>
      </w:r>
      <w:r>
        <w:t xml:space="preserve"> DAPHNE 36:1 2025. Botaniska Sällskapet i Stockholm</w:t>
      </w:r>
    </w:p>
    <w:p>
      <w:r>
        <w:t xml:space="preserve">Skogsstyrelsen, 2022. </w:t>
      </w:r>
      <w:r>
        <w:rPr>
          <w:i/>
        </w:rPr>
        <w:t xml:space="preserve">Vägledning för hänsyn till knärot. </w:t>
      </w:r>
      <w:r>
        <w:t>https://www.skogsstyrelsen.se/lag-och-tillsyn/artskydd/vagledningar-och-kunskapsstod-artskydd/vagledning-for-hansyn-till-knarot/</w:t>
      </w:r>
    </w:p>
    <w:p>
      <w:r>
        <w:t xml:space="preserve">SLU Artdatabanken, 2024. </w:t>
      </w:r>
      <w:r>
        <w:rPr>
          <w:i/>
        </w:rPr>
        <w:t xml:space="preserve">Artfaktablad. Naturvård – artfakta. </w:t>
      </w:r>
      <w:r>
        <w:t>SLU Artdatabanken, Uppsala</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2026-06-15</w:t>
      <w:br/>
      <w:br/>
    </w:r>
    <w:r>
      <w:t>Till: Holmen skog AB</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 Id="rId17" Type="http://schemas.openxmlformats.org/officeDocument/2006/relationships/image" Target="media/image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