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42489-2025 i Hudiksvalls kommun</w:t>
      </w:r>
    </w:p>
    <w:p>
      <w:r>
        <w:t>Detta dokument behandlar höga naturvärden i avverkningsanmälan A 42489-2025 i Hudiksvalls kommun. Denna avverkningsanmälan inkom 2025-09-05 11:53:57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raggtaggsvamp (EN) och koppartaggsvamp (VU).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42489-2025 karta.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6820240, E 599763 i SWEREF 99 TM.</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rPr>
        <w:t>Raggtaggsvamp (EN)</w:t>
      </w:r>
      <w:r>
        <w:t xml:space="preserve"> är en sällsynt och nationellt starkt hotad art som är knuten till gamla mossiga och örtrika kalkgranskogar med långvarig grankontinuitet. En ”toppart” som alltid indikerar starkt skyddsvärda kalkgranskogar. Raggtaggsvamp år globalt rödlistad som sårbar (VU) och Sverige har en betydande andel av den kända världspopulationen vilket innebär ett internationellt ansvar för arten. Arten försvinner vid slutavverkning vilket utgör det enskilt största hotet. (SLU Artdatabanken, 2024; Nitare &amp; Skogsstyrelsen, 2019; IUCN, 2015).</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