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13021-2022 i Hudiksvalls kommun</w:t>
      </w:r>
    </w:p>
    <w:p>
      <w:r>
        <w:t>Detta dokument behandlar höga naturvärden i avverkningsanmälan A 13021-2022 i Hudiksvalls kommun. Denna avverkningsanmälan inkom 2022-03-23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bombmurkla (VU, §8), brödtaggsvamp (VU), kejsarskivling (VU), porslinsblå spindling (VU), dofttaggsvamp (NT), gultoppig fingersvamp (NT), skogssvingel (NT), svart taggsvamp (NT), talltita (NT, §4), tretåig hackspett (NT, §4), fjällig taggsvamp s.str. (S), gulnande spindling (S), kattfotslav (S), kryddspindling (S), rödgul trumpetsvamp (S), skarp dropptaggsvamp (S), svavelriska (S), tvåblad (S, §8), zontaggsvamp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13021-2022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6820774, E 599432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Gulnande spindling</w:t>
      </w:r>
      <w:r>
        <w:t xml:space="preserve"> signalerar gammal hedekskog och hedbokskog med höga naturvärden i sydvästra Sverige. Arten har en starkt begränsad utbredning som gör att den främst är användbar som signalart i nordvästra Götaland. Den signalerar här också höga naturvärden i äldre naturlig granskog som ligger inom ett smalt bälte i anslutning till granens spontana västgräns. Arten är knuten till humida löv- och barrskogar vilka troligen har lång trädkontinuitet och den tål inte slutavverkning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Kejsarskivling (VU)</w:t>
      </w:r>
      <w:r>
        <w:t xml:space="preserve"> bildar mykorrhiza med tall, ibland även med gran och växer huvudsakligen på kalkrik mark i barrskog, framförallt mossig gammal granskog med inslag av tall. Arten är placerad högst upp i Skogsstyrelsens värdepyramid för bedömning av skog med höga naturvärden och hotas av slutavverkning, markberedning och en generell minskning av andelen gamla träd i våra skogar. Kejsarskivlingen är globalt rödlistad som nära hotad (NT) vilket innebär att Sverige har ett internationellt ansvar för arten (SLU Artdatabanken, 2024; Nitare &amp; Skogsstyrelsen, 2019).</w:t>
      </w:r>
    </w:p>
    <w:p>
      <w:r>
        <w:rPr>
          <w:b/>
        </w:rPr>
        <w:t>Porslinsblå spindling (VU)</w:t>
      </w:r>
      <w:r>
        <w:t xml:space="preserve"> är en mycket bra signalart på skyddsvärda kalkgranskogar där det föreligger långvarig grankontinuitet. Andelen äldre näringsrik granskog minskar i södra Sverige och därför fortsätter arten att minska. Det främsta hotet mot porslinsblå spindling är avverkning av de värdträd som den är helt beroende av. Den är placerad högst upp i Skogsstyrelsens värdepyramid för bedömning av skog med höga naturvärden och äldre granskogar där arten växer bör i möjligaste mån undantas från avverkning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bombmurkla (VU, §8), talltita (NT, §4), tretåig hackspett (NT, §4),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