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13021-2022 i Hudiksvalls kommun</w:t>
      </w:r>
    </w:p>
    <w:p>
      <w:r>
        <w:t>Detta dokument behandlar höga naturvärden i avverkningsanmälan A 13021-2022 i Hudiksvalls kommun. Denna avverkningsanmälan inkom 2022-03-23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brödtaggsvamp (VU), kejsarskivling (VU), porslinsblå spindling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Gulnande spindling</w:t>
      </w:r>
      <w:r>
        <w:t xml:space="preserve"> signalerar gammal hedekskog och hedbokskog med höga naturvärden i sydvästra Sverige. Arten har en starkt begränsad utbredning som gör att den främst är användbar som signalart i nordvästra Götaland. Den signalerar här också höga naturvärden i äldre naturlig granskog som ligger inom ett smalt bälte i anslutning till granens spontana västgräns. Arten är knuten till humida löv- och barrskogar vilka troligen har lång trädkontinuitet och den tål inte slutavverkning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bombmurkla (VU, §8), talltita (NT, §4), tretåig hackspett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