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37576-2025 i Hudiksvalls kommun</w:t>
      </w:r>
    </w:p>
    <w:p>
      <w:r>
        <w:t>Detta dokument behandlar höga naturvärden i avverkningsanmälan A 37576-2025 i Hudiksvalls kommun. Denna avverkningsanmälan inkom 2025-08-11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aspgelélav (VU), asptagging (VU), knärot (VU, §8), garnlav (NT), kandelabersvamp (NT), lunglav (NT), ullticka (NT), veckticka (NT), rävticka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062"/>
            <wp:docPr id="1" name="Picture 1"/>
            <wp:cNvGraphicFramePr>
              <a:graphicFrameLocks noChangeAspect="1"/>
            </wp:cNvGraphicFramePr>
            <a:graphic>
              <a:graphicData uri="http://schemas.openxmlformats.org/drawingml/2006/picture">
                <pic:pic>
                  <pic:nvPicPr>
                    <pic:cNvPr id="0" name="A 37576-2025 karta.png"/>
                    <pic:cNvPicPr/>
                  </pic:nvPicPr>
                  <pic:blipFill>
                    <a:blip r:embed="rId16"/>
                    <a:stretch>
                      <a:fillRect/>
                    </a:stretch>
                  </pic:blipFill>
                  <pic:spPr>
                    <a:xfrm>
                      <a:off x="0" y="0"/>
                      <a:ext cx="5486400" cy="2747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6853267, E 624232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Asptagging (VU)</w:t>
      </w:r>
      <w:r>
        <w:t xml:space="preserve"> är en sällsynt skinnsvamp som växer på murkna lågor av grov asp, i fuktig löv- och blandskog, vid källor och i strandskog. Arten måste eftersökas på de kända fyndplatserna och dessa skyddas om arten återfinns. För att gynna arten måste bestånd av asp lämnas till fri utveckling på lämpliga platser och gamla lövbrännor med stort inslag av äldre aspar bör inte avverkas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1.94 ha med buffertzonerna och får av detta skäl inte avverkas.</w:t>
      </w:r>
    </w:p>
    <w:p>
      <w:pPr>
        <w:pStyle w:val="Caption"/>
      </w:pPr>
      <w:r>
        <w:drawing>
          <wp:inline xmlns:a="http://schemas.openxmlformats.org/drawingml/2006/main" xmlns:pic="http://schemas.openxmlformats.org/drawingml/2006/picture">
            <wp:extent cx="5486400" cy="3101177"/>
            <wp:docPr id="2" name="Picture 2"/>
            <wp:cNvGraphicFramePr>
              <a:graphicFrameLocks noChangeAspect="1"/>
            </wp:cNvGraphicFramePr>
            <a:graphic>
              <a:graphicData uri="http://schemas.openxmlformats.org/drawingml/2006/picture">
                <pic:pic>
                  <pic:nvPicPr>
                    <pic:cNvPr id="0" name="A 37576-2025 karta knärot.png"/>
                    <pic:cNvPicPr/>
                  </pic:nvPicPr>
                  <pic:blipFill>
                    <a:blip r:embed="rId17"/>
                    <a:stretch>
                      <a:fillRect/>
                    </a:stretch>
                  </pic:blipFill>
                  <pic:spPr>
                    <a:xfrm>
                      <a:off x="0" y="0"/>
                      <a:ext cx="5486400" cy="31011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6853267, E 624232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