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20560-2022 i Hudiksvalls kommun</w:t>
      </w:r>
    </w:p>
    <w:p>
      <w:r>
        <w:t>Detta dokument behandlar höga naturvärden i avverkningsanmälan A 20560-2022 i Hudiksvalls kommun. Denna avverkningsanmälan inkom 2022-05-19 och omfattar 4,1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4 naturvårdsarter hittats: svart trolldruva (S), tibast (S), ögonpyrola (S) och revlummer (§9).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552313"/>
            <wp:docPr id="1" name="Picture 1"/>
            <wp:cNvGraphicFramePr>
              <a:graphicFrameLocks noChangeAspect="1"/>
            </wp:cNvGraphicFramePr>
            <a:graphic>
              <a:graphicData uri="http://schemas.openxmlformats.org/drawingml/2006/picture">
                <pic:pic>
                  <pic:nvPicPr>
                    <pic:cNvPr id="0" name="A 20560-2022 karta.png"/>
                    <pic:cNvPicPr/>
                  </pic:nvPicPr>
                  <pic:blipFill>
                    <a:blip r:embed="rId16"/>
                    <a:stretch>
                      <a:fillRect/>
                    </a:stretch>
                  </pic:blipFill>
                  <pic:spPr>
                    <a:xfrm>
                      <a:off x="0" y="0"/>
                      <a:ext cx="5486400" cy="555231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6880469, E 566324 i SWEREF 99 TM.</w:t>
      </w:r>
    </w:p>
    <w:p>
      <w:r>
        <w:rPr>
          <w:b/>
        </w:rPr>
        <w:t>Svart trolldruva</w:t>
      </w:r>
      <w:r>
        <w:t xml:space="preserve"> är en kalkgynnad växt som förekommer på näringsrik frisk mulljord i såväl bördiga kalkbarrskogar som sydliga kalklövskogar och lundar. Arten är en bra signalart för skyddsvärda biotoper i såväl löv- som barrskogar och tål inte slutavverkning och markberedning. Trolldruva är värdväxt för ett antal sällsynta fjärilsarter som ställer höga krav på sina livsmiljöer, däribland trolldruvemätare (EN), skuggmalmätare (VU) och trolldruvelobmätare (VU) (SLU Artdatabanken, 2024; Nitare &amp; Skogsstyrelsen, 2019).</w:t>
      </w:r>
    </w:p>
    <w:p>
      <w:r>
        <w:rPr>
          <w:b/>
        </w:rPr>
        <w:t>Tibast</w:t>
      </w:r>
      <w:r>
        <w:t xml:space="preserve"> är en kalkgynnad buske som växer på mullrik, frisk eller svagt fuktig mark, exempelvis i gamla kalkgranskogar, lövträdslundar, varma källpåverkade sluttningar och exklusiva biotoper kopplade till vattendrag. Förekomster i gammal skog visar på höga naturvärden och bör alltid noteras i samband med naturvärdesinventeringar. Tibast är värdväxt för de två fjärilsarterna större tibastmal och brun tibastmal (CR) (SLU Artdatabanken, 2024; Nitare &amp; Skogsstyrelsen, 2019).</w:t>
      </w:r>
    </w:p>
    <w:p>
      <w:r>
        <w:rPr>
          <w:b/>
        </w:rPr>
        <w:t xml:space="preserve">Ögonpyrola </w:t>
      </w:r>
      <w:r>
        <w:t>är normalt en bra signalart som visar på områden med höga naturvärden och stabila förhållanden, särskilt inom näringsfattiga trakter. Växten är mycket känslig för markskador och försvinner snabbt efter slutavverkning. Den hotas också av skogsgödsling och markavvattning (Nitare &amp; Skogsstyrelsen, 2019).</w:t>
      </w:r>
    </w:p>
    <w:p>
      <w:pPr>
        <w:pStyle w:val="Heading1"/>
      </w:pPr>
      <w:r>
        <w:t>Fridlysta arter</w:t>
      </w:r>
    </w:p>
    <w:p>
      <w:r>
        <w:t>Följande fridlysta arter har sina livsmiljöer och växtplatser i den avverkningsanmälda skogen: revlummer (§9).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2025-05-30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