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13505-2026 i Hudiksvalls kommun</w:t>
      </w:r>
    </w:p>
    <w:p>
      <w:r>
        <w:t>Denna tillsynsbegäran behandlar höga naturvärden i avverkningsanmälan A 13505-2026 i Hudiksvalls kommun som inkom 2026-03-13 och omfattar 11,7 ha.</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13505-2026 karta.png"/>
                    <pic:cNvPicPr/>
                  </pic:nvPicPr>
                  <pic:blipFill>
                    <a:blip r:embed="rId16"/>
                    <a:stretch>
                      <a:fillRect/>
                    </a:stretch>
                  </pic:blipFill>
                  <pic:spPr>
                    <a:xfrm>
                      <a:off x="0" y="0"/>
                      <a:ext cx="5486400" cy="456155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6855649, E 573289 i SWEREF 99 TM.</w:t>
      </w:r>
    </w:p>
    <w:p>
      <w:r>
        <w:t>I och inom 10 meter från avverkningsanmälan finns fynd av 8 naturvårdsarter, varav 2 är rödlistade, 3 är fridlysta, 5 är typiska (T) och 3 är signalarter (S): skogsalm (EN), skogssvingel (NT, T), strutbräken (S, T), tibast (S, T), ögonpyrola (S, T), blåsippa (T, §9),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Skogssvingel (NT) </w:t>
      </w:r>
      <w:r>
        <w:t xml:space="preserve">är ett sällsynt och exklusivt lundgräs som växer i bokskog, granskog och ädellövskog. Den hittas framför allt i gamla naturskogar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 Skogssvingel är typisk art för </w:t>
      </w:r>
      <w:r>
        <w:rPr>
          <w:i/>
        </w:rPr>
        <w:t xml:space="preserve">9020 Nordlig ädellövskog </w:t>
      </w:r>
      <w:r>
        <w:t xml:space="preserve">och </w:t>
      </w:r>
      <w:r>
        <w:rPr>
          <w:i/>
        </w:rPr>
        <w:t>9180 Ädellövskog i branter</w:t>
      </w:r>
      <w:r>
        <w:rPr>
          <w:b/>
        </w:rPr>
        <w:t xml:space="preserve"> </w:t>
      </w:r>
      <w:r>
        <w:t>(SLU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skogssvingel (NT, T), strutbräken (S, T), tibast (S, T), ögonpyrola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