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55441-2020 i Hudiksvalls kommun</w:t>
      </w:r>
    </w:p>
    <w:p>
      <w:r>
        <w:t>Detta dokument behandlar höga naturvärden i avverkningsanmälan A 55441-2020 i Hudiksvalls kommun. Denna avverkningsanmälan inkom 2020-10-27 00:00:00 och omfattar 15,4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14 naturvårdsarter hittats: knärot (VU, §8), garnlav (NT), kolflarnlav (NT), mörk kolflarnlav (NT), nordtagging (NT), skrovlig flatbagge (NT), vaddporing (NT), vedskivlav (NT), violettgrå tagellav (NT), vitplätt (NT), dropptaggsvamp (S), mindre märgborre (S), mörk vedstrit (S) och vedticka (S). Av dessa är 10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69430"/>
            <wp:docPr id="1" name="Picture 1"/>
            <wp:cNvGraphicFramePr>
              <a:graphicFrameLocks noChangeAspect="1"/>
            </wp:cNvGraphicFramePr>
            <a:graphic>
              <a:graphicData uri="http://schemas.openxmlformats.org/drawingml/2006/picture">
                <pic:pic>
                  <pic:nvPicPr>
                    <pic:cNvPr id="0" name="A 55441-2020 karta.png"/>
                    <pic:cNvPicPr/>
                  </pic:nvPicPr>
                  <pic:blipFill>
                    <a:blip r:embed="rId16"/>
                    <a:stretch>
                      <a:fillRect/>
                    </a:stretch>
                  </pic:blipFill>
                  <pic:spPr>
                    <a:xfrm>
                      <a:off x="0" y="0"/>
                      <a:ext cx="5486400" cy="49694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6842867, E 629636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Mindre märgborre</w:t>
      </w:r>
      <w:r>
        <w:t xml:space="preserve"> är en signalart för tallskog med höga naturvärden och betraktas tillsammans med skarptandad barkborre (NT) som nyckelarter för ett antal sällsynta åtgärdsprogramsarter som är beroende av deras gångsystem. Bland dessa kan nämnas avlång barkborre (VU), </w:t>
      </w:r>
      <w:r>
        <w:rPr>
          <w:i/>
        </w:rPr>
        <w:t>Corticeus longulus</w:t>
      </w:r>
      <w:r>
        <w:t xml:space="preserve"> (VU), tallbarksvartbagge (VU), tallgångbagge (VU) och cholodkovskys bastborre (NT). Den mindre märgborrens måsvingeliknande gnaggångar är lätta att känna igen och hittas ofta på grova tallgrenar på marken. 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(Pettersson, 2014; Hedgren, 2012; Gunnarsson m fl., 1999).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Skrovlig flatbagge (NT) </w:t>
      </w:r>
      <w:r>
        <w:t>är en skalbagge vars larvutveckling sker i mycelrik ved nära fruktkroppar av timmerticka eller citronticka i lågor av barrträd, främst tall, men även gran. Fullbildade skalbaggar påträffas i eller utanpå stammen vid näringsgnag på de vitaktiga, resupinata fruktkropparna. Arten missgynnas framförallt av att skogen blir tätare på grund av skogsskötsel och av att såväl återkommande bränder som skogsbete upphört. I naturligt öppnare miljöer hotas arten av vedtäkt och annat tillvaratagande av tallvirke. Naturligt brunnen tallskog i eller nära lokaler med arten bör skyddas. I skogsbruket bör mer naturvårdsträd av tall och vindfällen lämnas i fred. Detta är särskilt viktigt i kantzoner mot mer öppen mark tex. invid hällmarksimpediment. Skrovlig flatbagge</w:t>
      </w:r>
      <w:r>
        <w:rPr>
          <w:b/>
        </w:rPr>
        <w:t xml:space="preserve"> </w:t>
      </w:r>
      <w:r>
        <w:t>ingår i ett åtgärdsprogram för hotade arter (ÅGP) (SLU Artdatabanken, 2024; Wikars, 2014).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(SLU Artdatabanken, 2024; Nitare &amp; Skogsstyrelsen, 2019).</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0.74 ha med buffertzonerna och får av detta skäl inte avverkas.</w:t>
      </w:r>
    </w:p>
    <w:p>
      <w:pPr>
        <w:pStyle w:val="Caption"/>
      </w:pPr>
      <w:r>
        <w:drawing>
          <wp:inline xmlns:a="http://schemas.openxmlformats.org/drawingml/2006/main" xmlns:pic="http://schemas.openxmlformats.org/drawingml/2006/picture">
            <wp:extent cx="5486400" cy="6104264"/>
            <wp:docPr id="2" name="Picture 2"/>
            <wp:cNvGraphicFramePr>
              <a:graphicFrameLocks noChangeAspect="1"/>
            </wp:cNvGraphicFramePr>
            <a:graphic>
              <a:graphicData uri="http://schemas.openxmlformats.org/drawingml/2006/picture">
                <pic:pic>
                  <pic:nvPicPr>
                    <pic:cNvPr id="0" name="A 55441-2020 karta knärot.png"/>
                    <pic:cNvPicPr/>
                  </pic:nvPicPr>
                  <pic:blipFill>
                    <a:blip r:embed="rId17"/>
                    <a:stretch>
                      <a:fillRect/>
                    </a:stretch>
                  </pic:blipFill>
                  <pic:spPr>
                    <a:xfrm>
                      <a:off x="0" y="0"/>
                      <a:ext cx="5486400" cy="610426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6842867, E 629636 i SWEREF 99 TM.</w:t>
      </w:r>
    </w:p>
    <w:p>
      <w:pPr>
        <w:pStyle w:val="Caption"/>
      </w:pP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(NT) som nyckelarter, eftersom en rad sällsynta efterföljande arter är beroende av deras gångsystem. Bland dessa kan nämnas åtgärdsprogramsarterna avlång barkborre (VU), </w:t>
      </w:r>
      <w:r>
        <w:rPr>
          <w:i/>
        </w:rPr>
        <w:t>Corticeus longulus</w:t>
      </w:r>
      <w:r>
        <w:t xml:space="preserve"> (VU), tallbarksvartbagge (VU), tallgångbagge (VU) och cholodkovskys bastborre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(NT). De barkborrar som missgynnas av större märgborre är i mycket högre grad gynnade av tallar som dör genom självgallring, dvs. i normalfallet skog som inte används till skogsproduktion (Pettersson, 2014; Wikars, skriftl.).</w:t>
      </w:r>
    </w:p>
    <w:p>
      <w:r>
        <w:t>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(Pettersson, 2014).</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2025-10-09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