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19432-2025 i Hudiksvalls kommun</w:t>
      </w:r>
    </w:p>
    <w:p>
      <w:r>
        <w:t>Denna tillsynsbegäran behandlar höga naturvärden i avverkningsanmälan A 19432-2025 i Hudiksvalls kommun som inkom 2025-04-22 och omfattar 10,4 ha.</w:t>
      </w:r>
    </w:p>
    <w:p>
      <w:pPr>
        <w:pStyle w:val="Caption"/>
      </w:pPr>
      <w:r>
        <w:drawing>
          <wp:inline xmlns:a="http://schemas.openxmlformats.org/drawingml/2006/main" xmlns:pic="http://schemas.openxmlformats.org/drawingml/2006/picture">
            <wp:extent cx="5486400" cy="5336037"/>
            <wp:docPr id="1" name="Picture 1"/>
            <wp:cNvGraphicFramePr>
              <a:graphicFrameLocks noChangeAspect="1"/>
            </wp:cNvGraphicFramePr>
            <a:graphic>
              <a:graphicData uri="http://schemas.openxmlformats.org/drawingml/2006/picture">
                <pic:pic>
                  <pic:nvPicPr>
                    <pic:cNvPr id="0" name="A 19432-2025 karta.png"/>
                    <pic:cNvPicPr/>
                  </pic:nvPicPr>
                  <pic:blipFill>
                    <a:blip r:embed="rId16"/>
                    <a:stretch>
                      <a:fillRect/>
                    </a:stretch>
                  </pic:blipFill>
                  <pic:spPr>
                    <a:xfrm>
                      <a:off x="0" y="0"/>
                      <a:ext cx="5486400" cy="5336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6886943, E 562763 i SWEREF 99 TM.</w:t>
      </w:r>
    </w:p>
    <w:p>
      <w:r>
        <w:t>I avverkningsanmälan finns fynd av 6 naturvårdsarter, varav 1 är rödlistad, 1 är fridlyst, 6 är typiska (T) och 4 är signalarter (S): myskmåra (NT, T), strutbräken (S, T), svart trolldruva (S, T), tibast (S, T), underviol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myskmåra (NT, T), strutbräken (S, T), svart trolldruva (S, T), tibast (S, T), underviol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