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114-2025 i Hudiksvalls kommun</w:t>
      </w:r>
    </w:p>
    <w:p>
      <w:r>
        <w:t>Denna tillsynsbegäran behandlar höga naturvärden i samrådsanmälan S 114-2025 i Hudiksvalls kommun som inkom 2025-01-13 och omfattar 128,0 ha.</w:t>
      </w:r>
    </w:p>
    <w:p>
      <w:pPr>
        <w:pStyle w:val="Caption"/>
      </w:pPr>
      <w:r>
        <w:drawing>
          <wp:inline xmlns:a="http://schemas.openxmlformats.org/drawingml/2006/main" xmlns:pic="http://schemas.openxmlformats.org/drawingml/2006/picture">
            <wp:extent cx="4712957" cy="5724000"/>
            <wp:docPr id="1" name="Picture 1"/>
            <wp:cNvGraphicFramePr>
              <a:graphicFrameLocks noChangeAspect="1"/>
            </wp:cNvGraphicFramePr>
            <a:graphic>
              <a:graphicData uri="http://schemas.openxmlformats.org/drawingml/2006/picture">
                <pic:pic>
                  <pic:nvPicPr>
                    <pic:cNvPr id="0" name="S 114-2025 karta.png"/>
                    <pic:cNvPicPr/>
                  </pic:nvPicPr>
                  <pic:blipFill>
                    <a:blip r:embed="rId16"/>
                    <a:stretch>
                      <a:fillRect/>
                    </a:stretch>
                  </pic:blipFill>
                  <pic:spPr>
                    <a:xfrm>
                      <a:off x="0" y="0"/>
                      <a:ext cx="4712957" cy="5724000"/>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6873282, E 581374 i SWEREF 99 TM.</w:t>
      </w:r>
    </w:p>
    <w:p>
      <w:r>
        <w:t>I och inom 15 meter från samrådsanmälan finns fynd av 7 naturvårdsarter, varav 4 är rödlistade, 3 är fridlysta, 6 är typiska (T) och 1 är signalart (S): pärluggla (EN, T, §4), gammelgransskål (NT, T), lunglav (NT, T), rynkskinn (NT, T), skinnlav (S,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pärluggla (EN, T, §4), gammelgransskål (NT, T), lunglav (NT, T), rynkskinn (NT, T), skinnlav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