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asptagging (VU), knärot (VU, §8), aspskinn (NT), garnlav (NT), kandelabersvamp (NT), lunglav (NT), ullticka (NT), veckticka (NT), aspvaxskinn (DD), rävticka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 xml:space="preserve">Aspvaxskinn (DD) </w:t>
      </w:r>
      <w:r>
        <w:t>är en nedbrytare i bark och naken, murken ved på lågor och grenar av asp i löv- och blandskog med inslag av grov asp. Iögonfallande art, men endast känd från ett fåtal lokaler i södra delen av landet. Status och hotbild oklar, men uppenbart en ytterst sällsynt art. Missgynnas troligen av brist på grov asp. Kända växtplatser bör återbesökas och om svampen återfinns bör skydd övervägas. För artens långsiktiga överlevnad bör aspen gynnas inom skogsbruket, vilket är betydelsefullt även för många andra hotade arter. Särskilt bör tillses att aspbestånd på lämpliga platser tillåts utvecklas naturligt så att träden åldras, dör och faller omkull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