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35985-2022 i Hudiksvalls kommun</w:t>
      </w:r>
    </w:p>
    <w:p>
      <w:r>
        <w:t>Detta klagomål behandlar höga naturvärden i avverkningsanmälan A 35985-2022 i Hudiksvalls kommun som inkom 2022-08-29 och omfattar 9,1 ha.</w:t>
      </w:r>
    </w:p>
    <w:p>
      <w:pPr>
        <w:pStyle w:val="Caption"/>
      </w:pPr>
      <w:r>
        <w:drawing>
          <wp:inline xmlns:a="http://schemas.openxmlformats.org/drawingml/2006/main" xmlns:pic="http://schemas.openxmlformats.org/drawingml/2006/picture">
            <wp:extent cx="5486400" cy="5386445"/>
            <wp:docPr id="1" name="Picture 1"/>
            <wp:cNvGraphicFramePr>
              <a:graphicFrameLocks noChangeAspect="1"/>
            </wp:cNvGraphicFramePr>
            <a:graphic>
              <a:graphicData uri="http://schemas.openxmlformats.org/drawingml/2006/picture">
                <pic:pic>
                  <pic:nvPicPr>
                    <pic:cNvPr id="0" name="A 35985-2022 karta.png"/>
                    <pic:cNvPicPr/>
                  </pic:nvPicPr>
                  <pic:blipFill>
                    <a:blip r:embed="rId16"/>
                    <a:stretch>
                      <a:fillRect/>
                    </a:stretch>
                  </pic:blipFill>
                  <pic:spPr>
                    <a:xfrm>
                      <a:off x="0" y="0"/>
                      <a:ext cx="5486400" cy="53864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6886971, E 562724 i SWEREF 99 TM.</w:t>
      </w:r>
    </w:p>
    <w:p>
      <w:r>
        <w:t>I avverkningsanmälan finns fynd av 6 naturvårdsarter, varav 1 är rödlistad, 1 är fridlyst, 6 är typiska (T) och 4 är signalarter (S): myskmåra (NT, T), strutbräken (S, T), svart trolldruva (S, T), tibast (S, T), underviol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Myskmåra (NT)</w:t>
      </w:r>
      <w:r>
        <w:t xml:space="preserve"> förekommer både i granskog, blandskog och lövskog med en stark förkärlek till blockig skogsmark vid berg och raviner. Arten minskar på grund av att skogar som tidigare sparades nu avverkas och få lokaler har ett verkningsfullt skydd. Den sprids inte så lätt till nya lokaler och missgynnas av alltför omfattande skogliga ingrepp. Myskmåra är typisk art för </w:t>
      </w:r>
      <w:r>
        <w:rPr>
          <w:i/>
        </w:rPr>
        <w:t>9050 Näringsrik granskog</w:t>
      </w:r>
      <w:r>
        <w:t xml:space="preserve"> (SLU Artdatabanken, 2024).</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