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klagomål behandlar höga naturvärden i avverkningsanmälan A 25145-2024 i Hudiksvalls kommun som inkom 2024-06-19 och omfattar 2,3 ha.</w:t>
      </w:r>
    </w:p>
    <w:p>
      <w:pPr>
        <w:pStyle w:val="Caption"/>
      </w:pPr>
      <w:r>
        <w:drawing>
          <wp:inline xmlns:a="http://schemas.openxmlformats.org/drawingml/2006/main" xmlns:pic="http://schemas.openxmlformats.org/drawingml/2006/picture">
            <wp:extent cx="5486400" cy="292985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929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6824039, E 591477 i SWEREF 99 TM.</w:t>
      </w:r>
    </w:p>
    <w:p>
      <w:r>
        <w:t>I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