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35201-2026 i Hudiksvalls kommun</w:t>
      </w:r>
    </w:p>
    <w:p>
      <w:r>
        <w:t>Detta klagomål behandlar höga naturvärden i avverkningsanmälan A 35201-2026 i Hudiksvalls kommun som inkom 2026-08-26 och omfattar 7,5 ha.</w:t>
      </w:r>
    </w:p>
    <w:p>
      <w:pPr>
        <w:pStyle w:val="Caption"/>
      </w:pPr>
      <w:r>
        <w:drawing>
          <wp:inline xmlns:a="http://schemas.openxmlformats.org/drawingml/2006/main" xmlns:pic="http://schemas.openxmlformats.org/drawingml/2006/picture">
            <wp:extent cx="5486400" cy="3785805"/>
            <wp:docPr id="1" name="Picture 1"/>
            <wp:cNvGraphicFramePr>
              <a:graphicFrameLocks noChangeAspect="1"/>
            </wp:cNvGraphicFramePr>
            <a:graphic>
              <a:graphicData uri="http://schemas.openxmlformats.org/drawingml/2006/picture">
                <pic:pic>
                  <pic:nvPicPr>
                    <pic:cNvPr id="0" name="A 35201-2026 karta.png"/>
                    <pic:cNvPicPr/>
                  </pic:nvPicPr>
                  <pic:blipFill>
                    <a:blip r:embed="rId16"/>
                    <a:stretch>
                      <a:fillRect/>
                    </a:stretch>
                  </pic:blipFill>
                  <pic:spPr>
                    <a:xfrm>
                      <a:off x="0" y="0"/>
                      <a:ext cx="5486400" cy="37858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6883597, E 580773 i SWEREF 99 TM.</w:t>
      </w:r>
    </w:p>
    <w:p>
      <w:r>
        <w:t>I avverkningsanmälan finns fynd av 5 naturvårdsarter, varav 1 är rödlistad, 1 är fridlyst, 3 är typiska (T) och 3 är signalarter (S): gullpudra (NT, T), skogsbräsma (S), strutbräken (S, T), svart trolldruva (S, T)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