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39526-2021 i Hudiksvalls kommun</w:t>
      </w:r>
    </w:p>
    <w:p>
      <w:r>
        <w:t>Detta klagomål behandlar höga naturvärden i avverkningsanmälan A 39526-2021 i Hudiksvalls kommun som inkom 2021-08-07 och omfattar 5,5 ha.</w:t>
      </w:r>
    </w:p>
    <w:p>
      <w:pPr>
        <w:pStyle w:val="Caption"/>
      </w:pPr>
      <w:r>
        <w:drawing>
          <wp:inline xmlns:a="http://schemas.openxmlformats.org/drawingml/2006/main" xmlns:pic="http://schemas.openxmlformats.org/drawingml/2006/picture">
            <wp:extent cx="5486400" cy="5654197"/>
            <wp:docPr id="1" name="Picture 1"/>
            <wp:cNvGraphicFramePr>
              <a:graphicFrameLocks noChangeAspect="1"/>
            </wp:cNvGraphicFramePr>
            <a:graphic>
              <a:graphicData uri="http://schemas.openxmlformats.org/drawingml/2006/picture">
                <pic:pic>
                  <pic:nvPicPr>
                    <pic:cNvPr id="0" name="A 39526-2021 karta.png"/>
                    <pic:cNvPicPr/>
                  </pic:nvPicPr>
                  <pic:blipFill>
                    <a:blip r:embed="rId16"/>
                    <a:stretch>
                      <a:fillRect/>
                    </a:stretch>
                  </pic:blipFill>
                  <pic:spPr>
                    <a:xfrm>
                      <a:off x="0" y="0"/>
                      <a:ext cx="5486400" cy="5654197"/>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har ett svart streck som visar fyndplatsens exakta position. Kartans mittpunktskoordinat är N 6896773, E 562133 i SWEREF 99 TM.</w:t>
      </w:r>
    </w:p>
    <w:p>
      <w:r>
        <w:t>I och inom 4 meter från avverkningsanmälan finns fynd av 7 naturvårdsarter, varav 4 är rödlistade, 4 är fridlysta, 5 är typiska (T) och 1 är signalart (S): garnlav (VU, T), knärot (VU, T, §8), läderlappslav (VU, T), kolflarnlav (NT, T), spindelblomster (S, T, §8), nattviol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3.40 ha med buffertzonerna och får av detta skäl inte avverkas.</w:t>
      </w:r>
    </w:p>
    <w:p>
      <w:pPr>
        <w:pStyle w:val="Caption"/>
      </w:pPr>
      <w:r>
        <w:drawing>
          <wp:inline xmlns:a="http://schemas.openxmlformats.org/drawingml/2006/main" xmlns:pic="http://schemas.openxmlformats.org/drawingml/2006/picture">
            <wp:extent cx="5486400" cy="5535419"/>
            <wp:docPr id="2" name="Picture 2"/>
            <wp:cNvGraphicFramePr>
              <a:graphicFrameLocks noChangeAspect="1"/>
            </wp:cNvGraphicFramePr>
            <a:graphic>
              <a:graphicData uri="http://schemas.openxmlformats.org/drawingml/2006/picture">
                <pic:pic>
                  <pic:nvPicPr>
                    <pic:cNvPr id="0" name="A 39526-2021 karta knärot.png"/>
                    <pic:cNvPicPr/>
                  </pic:nvPicPr>
                  <pic:blipFill>
                    <a:blip r:embed="rId17"/>
                    <a:stretch>
                      <a:fillRect/>
                    </a:stretch>
                  </pic:blipFill>
                  <pic:spPr>
                    <a:xfrm>
                      <a:off x="0" y="0"/>
                      <a:ext cx="5486400" cy="553541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6896773, E 562133 i SWEREF 99 TM.</w:t>
      </w:r>
    </w:p>
    <w:p>
      <w:r>
        <w:rPr>
          <w:b/>
        </w:rPr>
        <w:t>Läderlappslav (VU)</w:t>
      </w:r>
      <w:r>
        <w:t xml:space="preserve"> växer på gamla lövträd, främst lönn, rönn, asp och ask, på lokaler med hög luftfuktighet. Lämpliga lokaler bör skyddas. Tills vidare bör lokaler i skog undantas från rationell skogsskötsel. Läderlappslav är typisk art för </w:t>
      </w:r>
      <w:r>
        <w:rPr>
          <w:i/>
        </w:rPr>
        <w:t xml:space="preserve">9010 Taiga, 9020 Nordlig ädellövskog, 9070 Trädklädd betesmark </w:t>
      </w:r>
      <w:r>
        <w:t xml:space="preserve">och </w:t>
      </w:r>
      <w:r>
        <w:rPr>
          <w:i/>
        </w:rPr>
        <w:t>9180 Ädellövskog i branter</w:t>
      </w:r>
      <w:r>
        <w:t xml:space="preserve">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