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35 naturvårdsarter, varav 22 är rödlistade, 8 är fridlysta, 27 är typiska (T) och 9 är signalarter (S): fläckporing (VU, T), garnlav (VU, T), gräddporing (VU, T), gränsticka (VU, T), knärot (VU, T, §8), tornseglare (VU, §4), brunpudrad nållav (NT, T), dropptaggsvamp (NT, T), dvärgbägarlav (NT, T), kolflarnlav (NT, T), lunglav (NT, T), mörk kolflarnlav (NT), nordtagging (NT), skarp dropptaggsvamp (NT), talltita (NT, §4), tretåig hackspett (NT, T, §4), ullticka (NT, T), vedskivlav (NT, T), vedtrappmossa (NT, T), violettgrå tagellav (NT, T), vitgrynig nållav (NT), vitplätt (NT), blodticka (S, T), bårdlav (S, T), gulnål (S, T), korallblylav (S, T), luddlav (S, T), norrlandslav (S, T), nästlav (S, T), stor aspticka (S, T), vedticka (S, T), gråspett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