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26314-2024 i Ånge kommun</w:t>
      </w:r>
    </w:p>
    <w:p>
      <w:r>
        <w:t>Denna tillsynsbegäran behandlar höga naturvärden i avverkningsanmälan A 26314-2024 i Ånge kommun som inkom 2024-06-25 och omfattar 11,9 ha.</w:t>
      </w:r>
    </w:p>
    <w:p>
      <w:pPr>
        <w:pStyle w:val="Caption"/>
      </w:pPr>
      <w:r>
        <w:drawing>
          <wp:inline xmlns:a="http://schemas.openxmlformats.org/drawingml/2006/main" xmlns:pic="http://schemas.openxmlformats.org/drawingml/2006/picture">
            <wp:extent cx="5486400" cy="4566769"/>
            <wp:docPr id="1" name="Picture 1"/>
            <wp:cNvGraphicFramePr>
              <a:graphicFrameLocks noChangeAspect="1"/>
            </wp:cNvGraphicFramePr>
            <a:graphic>
              <a:graphicData uri="http://schemas.openxmlformats.org/drawingml/2006/picture">
                <pic:pic>
                  <pic:nvPicPr>
                    <pic:cNvPr id="0" name="A 26314-2024 karta.png"/>
                    <pic:cNvPicPr/>
                  </pic:nvPicPr>
                  <pic:blipFill>
                    <a:blip r:embed="rId16"/>
                    <a:stretch>
                      <a:fillRect/>
                    </a:stretch>
                  </pic:blipFill>
                  <pic:spPr>
                    <a:xfrm>
                      <a:off x="0" y="0"/>
                      <a:ext cx="5486400" cy="456676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6914310, E 497750 i SWEREF 99 TM.</w:t>
      </w:r>
    </w:p>
    <w:p>
      <w:r>
        <w:t>I avverkningsanmälan finns fynd av 9 naturvårdsarter, varav 9 är rödlistade, 1 är fridlyst och 7 är typiska (T): fläckporing (VU, T), knärot (VU, T, §8), dropptaggsvamp (NT, T), dvärgbägarlav (NT, T), kolflarnlav (NT, T), lunglav (NT, T), mörk kolflarnlav (NT), vedflamlav (NT) och vedskivlav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1.10 ha med buffertzonerna och får av detta skäl inte avverkas.</w:t>
      </w:r>
    </w:p>
    <w:p>
      <w:pPr>
        <w:pStyle w:val="Caption"/>
      </w:pPr>
      <w:r>
        <w:drawing>
          <wp:inline xmlns:a="http://schemas.openxmlformats.org/drawingml/2006/main" xmlns:pic="http://schemas.openxmlformats.org/drawingml/2006/picture">
            <wp:extent cx="5486400" cy="5679624"/>
            <wp:docPr id="2" name="Picture 2"/>
            <wp:cNvGraphicFramePr>
              <a:graphicFrameLocks noChangeAspect="1"/>
            </wp:cNvGraphicFramePr>
            <a:graphic>
              <a:graphicData uri="http://schemas.openxmlformats.org/drawingml/2006/picture">
                <pic:pic>
                  <pic:nvPicPr>
                    <pic:cNvPr id="0" name="A 26314-2024 karta knärot.png"/>
                    <pic:cNvPicPr/>
                  </pic:nvPicPr>
                  <pic:blipFill>
                    <a:blip r:embed="rId17"/>
                    <a:stretch>
                      <a:fillRect/>
                    </a:stretch>
                  </pic:blipFill>
                  <pic:spPr>
                    <a:xfrm>
                      <a:off x="0" y="0"/>
                      <a:ext cx="5486400" cy="567962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6914310, E 497750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fläckporing (VU, T), knärot (VU, T, §8), dropptaggsvamp (NT, T), dvärgbägarlav (NT, T), kolflarnlav (NT, T), lunglav (NT, T) och vedskivlav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