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1079-2025 i Ånge kommun</w:t>
      </w:r>
    </w:p>
    <w:p>
      <w:r>
        <w:t>Denna tillsynsbegäran behandlar höga naturvärden i samrådsanmälan S 1079-2025 i Ånge kommun som inkom 2025-04-02 och omfattar 30,2 ha.</w:t>
      </w:r>
    </w:p>
    <w:p>
      <w:pPr>
        <w:pStyle w:val="Caption"/>
      </w:pPr>
      <w:r>
        <w:drawing>
          <wp:inline xmlns:a="http://schemas.openxmlformats.org/drawingml/2006/main" xmlns:pic="http://schemas.openxmlformats.org/drawingml/2006/picture">
            <wp:extent cx="5486400" cy="3550134"/>
            <wp:docPr id="1" name="Picture 1"/>
            <wp:cNvGraphicFramePr>
              <a:graphicFrameLocks noChangeAspect="1"/>
            </wp:cNvGraphicFramePr>
            <a:graphic>
              <a:graphicData uri="http://schemas.openxmlformats.org/drawingml/2006/picture">
                <pic:pic>
                  <pic:nvPicPr>
                    <pic:cNvPr id="0" name="S 1079-2025 karta.png"/>
                    <pic:cNvPicPr/>
                  </pic:nvPicPr>
                  <pic:blipFill>
                    <a:blip r:embed="rId16"/>
                    <a:stretch>
                      <a:fillRect/>
                    </a:stretch>
                  </pic:blipFill>
                  <pic:spPr>
                    <a:xfrm>
                      <a:off x="0" y="0"/>
                      <a:ext cx="5486400" cy="3550134"/>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6937883, E 521803 i SWEREF 99 TM.</w:t>
      </w:r>
    </w:p>
    <w:p>
      <w:r>
        <w:t>I och inom 24 meter från samrådsanmälan finns fynd av 16 naturvårdsarter, varav 12 är rödlistade, 2 är fridlysta, 15 är typiska (T) och 4 är signalarter (S): doftticka (VU, T, §8), garnlav (VU, T), knärot (VU, T, §8), dropptaggsvamp (NT, T), dvärgbägarlav (NT, T), gammelgransskål (NT, T), kolflarnlav (NT, T), lunglav (NT, T), orange taggsvamp (NT, T), småflikig brosklav (NT, T), större flatbagge (NT), vedtrappmossa (NT, T), korallblylav (S, T), rävticka (S, T), stor aspticka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1.23 ha med buffertzonerna och får av detta skäl inte avverkas.</w:t>
      </w:r>
    </w:p>
    <w:p>
      <w:pPr>
        <w:pStyle w:val="Caption"/>
      </w:pPr>
      <w:r>
        <w:drawing>
          <wp:inline xmlns:a="http://schemas.openxmlformats.org/drawingml/2006/main" xmlns:pic="http://schemas.openxmlformats.org/drawingml/2006/picture">
            <wp:extent cx="5486400" cy="3314464"/>
            <wp:docPr id="2" name="Picture 2"/>
            <wp:cNvGraphicFramePr>
              <a:graphicFrameLocks noChangeAspect="1"/>
            </wp:cNvGraphicFramePr>
            <a:graphic>
              <a:graphicData uri="http://schemas.openxmlformats.org/drawingml/2006/picture">
                <pic:pic>
                  <pic:nvPicPr>
                    <pic:cNvPr id="0" name="S 1079-2025 karta knärot.png"/>
                    <pic:cNvPicPr/>
                  </pic:nvPicPr>
                  <pic:blipFill>
                    <a:blip r:embed="rId17"/>
                    <a:stretch>
                      <a:fillRect/>
                    </a:stretch>
                  </pic:blipFill>
                  <pic:spPr>
                    <a:xfrm>
                      <a:off x="0" y="0"/>
                      <a:ext cx="5486400" cy="331446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6937883, E 521803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Större flatbagge</w:t>
      </w:r>
      <w:r>
        <w:rPr>
          <w:b/>
          <w:i/>
        </w:rPr>
        <w:t xml:space="preserve"> </w:t>
      </w:r>
      <w:r>
        <w:rPr>
          <w:b/>
        </w:rPr>
        <w:t xml:space="preserve">(NT) </w:t>
      </w:r>
      <w:r>
        <w:t>är en skalbagge vars larvutveckling sker i brunrötad ved i högstubbar eller torrträd av både barrträd och lövträd, oftast tall, gran och björk, men även asp, klibbal och gråal. Vedsvampar som skapar lämplig vedröta är klibbticka och björkticka. När skalbaggarna lämnar veden uppstår typiskt stora, ovala flyghål på vedytan, i formen ungefär som ett avrundat myntinkast. De födosöker gärna på undersidan av levande klibbtickor, varvid det uppstår ytliga gnagspår i sporlagret. 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 Främst är det viktigt att gammal granskog eller lövbrännor sparas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 Större flatbagge är rödlistad som nära hotad (NT) på den europeiska rödlistan, vilket medför ett internationellt ansvar för arten (IUCN, 2025;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doftticka (VU, T, §8), garnlav (VU, T), knärot (VU, T, §8), dropptaggsvamp (NT, T), dvärgbägarlav (NT, T), gammelgransskål (NT, T), kolflarnlav (NT, T), lunglav (NT, T), orange taggsvamp (NT, T), småflikig brosklav (NT, T), vedtrappmossa (NT, T), korallblylav (S, T), rävticka (S, T), stor aspticka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