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64520-2023 i Ånge kommun</w:t>
      </w:r>
    </w:p>
    <w:p>
      <w:r>
        <w:t>Detta klagomål behandlar höga naturvärden i avverkningsanmälan A 64520-2023 i Ånge kommun som inkom 2023-12-21 och omfattar 68,5 ha.</w:t>
      </w:r>
    </w:p>
    <w:p>
      <w:pPr>
        <w:pStyle w:val="Caption"/>
      </w:pPr>
      <w:r>
        <w:drawing>
          <wp:inline xmlns:a="http://schemas.openxmlformats.org/drawingml/2006/main" xmlns:pic="http://schemas.openxmlformats.org/drawingml/2006/picture">
            <wp:extent cx="4215303" cy="5724000"/>
            <wp:docPr id="1" name="Picture 1"/>
            <wp:cNvGraphicFramePr>
              <a:graphicFrameLocks noChangeAspect="1"/>
            </wp:cNvGraphicFramePr>
            <a:graphic>
              <a:graphicData uri="http://schemas.openxmlformats.org/drawingml/2006/picture">
                <pic:pic>
                  <pic:nvPicPr>
                    <pic:cNvPr id="0" name="A 64520-2023 karta.png"/>
                    <pic:cNvPicPr/>
                  </pic:nvPicPr>
                  <pic:blipFill>
                    <a:blip r:embed="rId16"/>
                    <a:stretch>
                      <a:fillRect/>
                    </a:stretch>
                  </pic:blipFill>
                  <pic:spPr>
                    <a:xfrm>
                      <a:off x="0" y="0"/>
                      <a:ext cx="421530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6928056, E 531263 i SWEREF 99 TM.</w:t>
      </w:r>
    </w:p>
    <w:p>
      <w:r>
        <w:t>I och inom 15 meter från avverkningsanmälan finns fynd av 14 naturvårdsarter, varav 13 är rödlistade, 1 är fridlyst, 9 är typiska (T) och 1 är signalart (S): kromporing (EN), fläckporing (VU, T), gräddporing (VU, T), knärot (VU, T, §8), skrovlig taggsvamp (VU), dvärgbägarlav (NT, T), lunglav (NT, T), mörk kolflarnlav (NT), nordtagging (NT), rosenticka (NT, T), rynkskinn (NT, T), vedflamlav (NT), vedtrappmossa (NT, T)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Kromporing (EN)</w:t>
      </w:r>
      <w:r>
        <w:t xml:space="preserve"> är en starkt hotad art med mycket liten population i landet och sällsynt i Nordeuropa. I Sverige är den påträffad i fuktiga miljöer som t ex strandskogar på asp, al och sälg. Arten hotas av brist på död ved av lämplig kvalitet i brukad skog. Skogliga åtgärder som innebär att lågor och döda eller skadade träd tas bort missgynnar arten. En slutavverkning, skoglig gallring eller annat uttag av virke på växtplatsen som ger ett förändrat lokalklimat innebär ett direkt hot. De få lokalerna där svampen blivit funnen i Sverige bör undantas från skogsbruk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4520-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6928056, E 531263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