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och inom 25 meter från avverkningsanmälan finns fynd av 14 naturvårdsarter, varav 10 är rödlistade, 11 är typiska (T) och 4 är signalarter (S): garnlav (VU, T), läderlappslav (VU, T), dropptaggsvamp (NT, T), gammelgransskål (NT, T), lunglav (NT, T), mörk kolflarnlav (NT), nordtagging (NT), stiftgelélav (NT, T), tallticka (NT, T), vitgrynig nållav (NT), bårdlav (S, T), norrlandslav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dropptaggsvamp (NT, T), gammelgransskål (NT, T), lunglav (NT, T), stiftgelélav (NT, T), tallticka (NT, T), bårdlav (S, T), norrlandslav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