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22737-2023 i Ånge kommun</w:t>
      </w:r>
    </w:p>
    <w:p>
      <w:r>
        <w:t>Detta dokument behandlar höga naturvärden i avverkningsanmälan A 22737-2023 i Ånge kommun. Denna avverkningsanmälan inkom 2023-05-25 00:00:00 och omfattar 9,9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8 naturvårdsarter hittats: aspgelélav (VU), lunglav (NT), skrovellav (NT), vedtrappmossa (NT), vitgrynig nållav (NT), bårdlav (S), gytterlav (S) och skinnlav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42283"/>
            <wp:docPr id="1" name="Picture 1"/>
            <wp:cNvGraphicFramePr>
              <a:graphicFrameLocks noChangeAspect="1"/>
            </wp:cNvGraphicFramePr>
            <a:graphic>
              <a:graphicData uri="http://schemas.openxmlformats.org/drawingml/2006/picture">
                <pic:pic>
                  <pic:nvPicPr>
                    <pic:cNvPr id="0" name="A 22737-2023 karta.png"/>
                    <pic:cNvPicPr/>
                  </pic:nvPicPr>
                  <pic:blipFill>
                    <a:blip r:embed="rId16"/>
                    <a:stretch>
                      <a:fillRect/>
                    </a:stretch>
                  </pic:blipFill>
                  <pic:spPr>
                    <a:xfrm>
                      <a:off x="0" y="0"/>
                      <a:ext cx="5486400" cy="76422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6943250, E 543149 i SWEREF 99 TM.</w:t>
      </w:r>
    </w:p>
    <w:p>
      <w:r>
        <w:rPr>
          <w:b/>
        </w:rPr>
        <w:t>Aspgelélav (VU)</w:t>
      </w:r>
      <w:r>
        <w:t xml:space="preserve"> växer praktiskt taget enbart på asp i skog med hög luftfuktighet. Aspgelélav missgynnas vid slutavverkning. I norra Sverige hotas arten genom slutavverkning av äldre barrskog med åldriga aspar, ofta på skogsbergens sluttningar. Arten försvinner på aspar som lämnas kvar på hyggen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0.34 ha med buffertzonerna och får av detta skäl inte avverkas.</w:t>
      </w:r>
    </w:p>
    <w:p>
      <w:pPr>
        <w:pStyle w:val="Caption"/>
      </w:pPr>
      <w:r>
        <w:drawing>
          <wp:inline xmlns:a="http://schemas.openxmlformats.org/drawingml/2006/main" xmlns:pic="http://schemas.openxmlformats.org/drawingml/2006/picture">
            <wp:extent cx="5486400" cy="10385551"/>
            <wp:docPr id="2" name="Picture 2"/>
            <wp:cNvGraphicFramePr>
              <a:graphicFrameLocks noChangeAspect="1"/>
            </wp:cNvGraphicFramePr>
            <a:graphic>
              <a:graphicData uri="http://schemas.openxmlformats.org/drawingml/2006/picture">
                <pic:pic>
                  <pic:nvPicPr>
                    <pic:cNvPr id="0" name="A 22737-2023 karta knärot.png"/>
                    <pic:cNvPicPr/>
                  </pic:nvPicPr>
                  <pic:blipFill>
                    <a:blip r:embed="rId17"/>
                    <a:stretch>
                      <a:fillRect/>
                    </a:stretch>
                  </pic:blipFill>
                  <pic:spPr>
                    <a:xfrm>
                      <a:off x="0" y="0"/>
                      <a:ext cx="5486400" cy="1038555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6943250, E 543149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