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dokument behandlar höga naturvärden i avverkningsanmälan A 64518-2023 i Ånge kommun. Denna avverkningsanmälan inkom 2023-12-21 00:00:00 och omfattar 69,5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doftticka (VU, §8), gräddporing (VU), knärot (VU, §8), ulltickeporing (VU), blå taggsvamp (NT), dvärgbägarlav (NT), flattoppad klubbsvamp (NT), gammelgransskål (NT), garnlav (NT), grantaggsvamp (NT), granticka (NT), gränsticka (NT), järpe (NT, §4), kolflarnlav (NT), koralltaggsvamp (NT), kortskaftad ärgspik (NT), lunglav (NT), mörk kolflarnlav (NT), orange taggsvamp (NT), rosenticka (NT), skrovellav (NT), spillkråka (NT, §4), svart taggsvamp agg. (NT), tallticka (NT), talltita (NT, §4), ullticka (NT), vedskivlav (NT), vedtrappmossa (NT), violettgrå tagellav (NT), barkticka (S), bårdlav (S), dropptaggsvamp (S), fjällig taggsvamp s.str. (S), grovticka (S), grönpyrola (S), jättesvampmal (S), luddlav (S), norrlandslav (S), nästlav (S), plattlummer (S, §9), skarp dropptaggsvamp (S), skinnlav (S), spindelblomster (S, §8), stor aspticka (S), stuplav (S), vedticka (S), kungsfågel (§4), tjäder (§4), nattviol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22.76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